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AEA4" w14:textId="0C8AA57F" w:rsidR="00342E0F" w:rsidRDefault="00575A7E" w:rsidP="00342E0F">
      <w:pPr>
        <w:spacing w:after="0" w:line="240" w:lineRule="auto"/>
        <w:jc w:val="center"/>
        <w:rPr>
          <w:rFonts w:ascii="Arial" w:hAnsi="Arial" w:cs="Arial"/>
          <w:b/>
        </w:rPr>
      </w:pPr>
      <w:r>
        <w:rPr>
          <w:rFonts w:ascii="Arial" w:hAnsi="Arial" w:cs="Arial"/>
          <w:b/>
        </w:rPr>
        <w:t xml:space="preserve">ARKA </w:t>
      </w:r>
      <w:r w:rsidR="00775F7A" w:rsidRPr="00342E0F">
        <w:rPr>
          <w:rFonts w:ascii="Arial" w:hAnsi="Arial" w:cs="Arial"/>
          <w:b/>
        </w:rPr>
        <w:t xml:space="preserve">California Employee, Independent Contractor and Job Applicant </w:t>
      </w:r>
    </w:p>
    <w:p w14:paraId="39B5D2BC" w14:textId="02EC92A6" w:rsidR="00342E0F" w:rsidRPr="00342E0F" w:rsidRDefault="00775F7A" w:rsidP="00342E0F">
      <w:pPr>
        <w:spacing w:after="0" w:line="240" w:lineRule="auto"/>
        <w:jc w:val="center"/>
        <w:rPr>
          <w:rFonts w:ascii="Arial" w:hAnsi="Arial" w:cs="Arial"/>
          <w:b/>
        </w:rPr>
      </w:pPr>
      <w:r w:rsidRPr="00342E0F">
        <w:rPr>
          <w:rFonts w:ascii="Arial" w:hAnsi="Arial" w:cs="Arial"/>
          <w:b/>
        </w:rPr>
        <w:t>Privacy Notice</w:t>
      </w:r>
    </w:p>
    <w:p w14:paraId="6C8D6760" w14:textId="77777777" w:rsidR="00342E0F" w:rsidRDefault="00342E0F" w:rsidP="00342E0F">
      <w:pPr>
        <w:spacing w:after="0" w:line="240" w:lineRule="auto"/>
        <w:rPr>
          <w:rFonts w:ascii="Arial" w:hAnsi="Arial" w:cs="Arial"/>
          <w:b/>
          <w:bCs/>
        </w:rPr>
      </w:pPr>
    </w:p>
    <w:p w14:paraId="1148E3F7" w14:textId="23385CBB" w:rsidR="00013CB9" w:rsidRPr="00342E0F" w:rsidRDefault="00775F7A" w:rsidP="00342E0F">
      <w:pPr>
        <w:spacing w:after="0" w:line="240" w:lineRule="auto"/>
        <w:rPr>
          <w:rFonts w:ascii="Arial" w:hAnsi="Arial" w:cs="Arial"/>
        </w:rPr>
      </w:pPr>
      <w:r w:rsidRPr="00342E0F">
        <w:rPr>
          <w:rFonts w:ascii="Arial" w:hAnsi="Arial" w:cs="Arial"/>
          <w:b/>
          <w:bCs/>
        </w:rPr>
        <w:t>Effective Date:</w:t>
      </w:r>
      <w:r w:rsidRPr="00342E0F">
        <w:rPr>
          <w:rFonts w:ascii="Arial" w:hAnsi="Arial" w:cs="Arial"/>
        </w:rPr>
        <w:t xml:space="preserve"> </w:t>
      </w:r>
      <w:r w:rsidR="000529FF">
        <w:rPr>
          <w:rFonts w:ascii="Arial" w:hAnsi="Arial" w:cs="Arial"/>
        </w:rPr>
        <w:t>August 1, 2024</w:t>
      </w:r>
    </w:p>
    <w:p w14:paraId="7A19B139" w14:textId="77777777" w:rsidR="00342E0F" w:rsidRDefault="00342E0F" w:rsidP="00342E0F">
      <w:pPr>
        <w:spacing w:after="0" w:line="240" w:lineRule="auto"/>
        <w:rPr>
          <w:rFonts w:ascii="Arial" w:hAnsi="Arial" w:cs="Arial"/>
        </w:rPr>
      </w:pPr>
    </w:p>
    <w:p w14:paraId="7B0679B7" w14:textId="6547BA01" w:rsidR="00342E0F" w:rsidRDefault="00775F7A" w:rsidP="00342E0F">
      <w:pPr>
        <w:spacing w:after="0" w:line="240" w:lineRule="auto"/>
        <w:rPr>
          <w:rFonts w:ascii="Arial" w:hAnsi="Arial" w:cs="Arial"/>
        </w:rPr>
      </w:pPr>
      <w:r w:rsidRPr="00342E0F">
        <w:rPr>
          <w:rFonts w:ascii="Arial" w:hAnsi="Arial" w:cs="Arial"/>
        </w:rPr>
        <w:t xml:space="preserve">Under the California Consumer Privacy Act of 2018, as amended by the California Privacy Rights Act of 2020 (“CPRA”), </w:t>
      </w:r>
      <w:r w:rsidR="00575A7E" w:rsidRPr="00575A7E">
        <w:rPr>
          <w:rFonts w:ascii="Arial" w:hAnsi="Arial" w:cs="Arial"/>
        </w:rPr>
        <w:t xml:space="preserve">ARKA Group L.P. and its affiliate companies, including but not limited to AMERGINT Technologies, Inc., Danbury Mission Technologies, LLC, The Stratagem Group, LLC, </w:t>
      </w:r>
      <w:r w:rsidR="00595C51">
        <w:rPr>
          <w:rFonts w:ascii="Arial" w:hAnsi="Arial" w:cs="Arial"/>
        </w:rPr>
        <w:t xml:space="preserve">Lumacron US, LLC, </w:t>
      </w:r>
      <w:r w:rsidR="00575A7E" w:rsidRPr="00575A7E">
        <w:rPr>
          <w:rFonts w:ascii="Arial" w:hAnsi="Arial" w:cs="Arial"/>
        </w:rPr>
        <w:t xml:space="preserve">Lumacron Technology Limited and Tethers Unlimited, Inc. (“ARKA,” “we,” “us” or “our”) </w:t>
      </w:r>
      <w:r w:rsidR="00575A7E">
        <w:rPr>
          <w:rFonts w:ascii="Arial" w:hAnsi="Arial" w:cs="Arial"/>
        </w:rPr>
        <w:t>are</w:t>
      </w:r>
      <w:r w:rsidRPr="00342E0F">
        <w:rPr>
          <w:rFonts w:ascii="Arial" w:hAnsi="Arial" w:cs="Arial"/>
        </w:rPr>
        <w:t xml:space="preserve"> required to notify you that we collect certain personal information in connection with your employment, application for employment or independent contractor relationship.</w:t>
      </w:r>
      <w:r w:rsidR="004D3459">
        <w:rPr>
          <w:rFonts w:ascii="Arial" w:hAnsi="Arial" w:cs="Arial"/>
        </w:rPr>
        <w:t xml:space="preserve"> This privacy notice solely applies to employees, job applicants and independent contractors who are California residents.</w:t>
      </w:r>
      <w:r w:rsidRPr="00342E0F">
        <w:rPr>
          <w:rFonts w:ascii="Arial" w:hAnsi="Arial" w:cs="Arial"/>
        </w:rPr>
        <w:t xml:space="preserve">  </w:t>
      </w:r>
    </w:p>
    <w:p w14:paraId="1F006BA2" w14:textId="77777777" w:rsidR="00342E0F" w:rsidRDefault="00342E0F" w:rsidP="00342E0F">
      <w:pPr>
        <w:spacing w:after="0" w:line="240" w:lineRule="auto"/>
        <w:rPr>
          <w:rFonts w:ascii="Arial" w:hAnsi="Arial" w:cs="Arial"/>
        </w:rPr>
      </w:pPr>
    </w:p>
    <w:p w14:paraId="345E395F" w14:textId="04FDDF27" w:rsidR="00013CB9" w:rsidRDefault="004D3459" w:rsidP="00342E0F">
      <w:pPr>
        <w:spacing w:after="0" w:line="240" w:lineRule="auto"/>
        <w:rPr>
          <w:rFonts w:ascii="Arial" w:hAnsi="Arial" w:cs="Arial"/>
        </w:rPr>
      </w:pPr>
      <w:r>
        <w:rPr>
          <w:rFonts w:ascii="Arial" w:hAnsi="Arial" w:cs="Arial"/>
        </w:rPr>
        <w:t>We</w:t>
      </w:r>
      <w:r w:rsidR="00775F7A" w:rsidRPr="00342E0F">
        <w:rPr>
          <w:rFonts w:ascii="Arial" w:hAnsi="Arial" w:cs="Arial"/>
        </w:rPr>
        <w:t xml:space="preserve"> collect, use and disclose the following categories of personal information regarding job applicants, employees and their emergency contacts and beneficiaries, and independent contractors: </w:t>
      </w:r>
    </w:p>
    <w:p w14:paraId="11A59D50" w14:textId="77777777" w:rsidR="00746ED4" w:rsidRPr="00342E0F" w:rsidRDefault="00746ED4" w:rsidP="00342E0F">
      <w:pPr>
        <w:spacing w:after="0" w:line="240" w:lineRule="auto"/>
        <w:rPr>
          <w:rFonts w:ascii="Arial" w:hAnsi="Arial" w:cs="Arial"/>
        </w:rPr>
      </w:pPr>
    </w:p>
    <w:tbl>
      <w:tblPr>
        <w:tblStyle w:val="TableGrid"/>
        <w:tblW w:w="5000" w:type="pct"/>
        <w:tblLook w:val="04A0" w:firstRow="1" w:lastRow="0" w:firstColumn="1" w:lastColumn="0" w:noHBand="0" w:noVBand="1"/>
      </w:tblPr>
      <w:tblGrid>
        <w:gridCol w:w="3836"/>
        <w:gridCol w:w="2757"/>
        <w:gridCol w:w="2757"/>
      </w:tblGrid>
      <w:tr w:rsidR="001A0E63" w14:paraId="7A8CB4F2" w14:textId="77777777" w:rsidTr="009F2863">
        <w:trPr>
          <w:tblHeader/>
        </w:trPr>
        <w:tc>
          <w:tcPr>
            <w:tcW w:w="2051" w:type="pct"/>
            <w:shd w:val="clear" w:color="auto" w:fill="E8E8E8" w:themeFill="background2"/>
          </w:tcPr>
          <w:p w14:paraId="1DCBC5A9" w14:textId="77777777" w:rsidR="00013CB9" w:rsidRPr="00342E0F" w:rsidRDefault="00775F7A" w:rsidP="00342E0F">
            <w:pPr>
              <w:spacing w:after="0" w:line="240" w:lineRule="auto"/>
              <w:jc w:val="center"/>
              <w:rPr>
                <w:rFonts w:ascii="Arial" w:hAnsi="Arial" w:cs="Arial"/>
                <w:b/>
                <w:bCs/>
                <w:color w:val="000000"/>
              </w:rPr>
            </w:pPr>
            <w:bookmarkStart w:id="0" w:name="_Hlk173309738"/>
            <w:r w:rsidRPr="00342E0F">
              <w:rPr>
                <w:rFonts w:ascii="Arial" w:hAnsi="Arial" w:cs="Arial"/>
                <w:b/>
                <w:bCs/>
                <w:color w:val="000000"/>
              </w:rPr>
              <w:t>Categories of Personal Information Collected</w:t>
            </w:r>
          </w:p>
        </w:tc>
        <w:tc>
          <w:tcPr>
            <w:tcW w:w="1474" w:type="pct"/>
            <w:shd w:val="clear" w:color="auto" w:fill="E8E8E8" w:themeFill="background2"/>
          </w:tcPr>
          <w:p w14:paraId="2D6A9733" w14:textId="77777777" w:rsidR="00013CB9" w:rsidRPr="00342E0F" w:rsidRDefault="00775F7A" w:rsidP="00342E0F">
            <w:pPr>
              <w:spacing w:after="0" w:line="240" w:lineRule="auto"/>
              <w:jc w:val="center"/>
              <w:rPr>
                <w:rFonts w:ascii="Arial" w:hAnsi="Arial" w:cs="Arial"/>
                <w:b/>
                <w:bCs/>
                <w:color w:val="000000"/>
              </w:rPr>
            </w:pPr>
            <w:r w:rsidRPr="00342E0F">
              <w:rPr>
                <w:rFonts w:ascii="Arial" w:hAnsi="Arial" w:cs="Arial"/>
                <w:b/>
                <w:bCs/>
                <w:color w:val="000000"/>
              </w:rPr>
              <w:t>Disclosed for a Business Purpose?</w:t>
            </w:r>
          </w:p>
        </w:tc>
        <w:tc>
          <w:tcPr>
            <w:tcW w:w="1474" w:type="pct"/>
            <w:shd w:val="clear" w:color="auto" w:fill="E8E8E8" w:themeFill="background2"/>
          </w:tcPr>
          <w:p w14:paraId="6D3738D8" w14:textId="77777777" w:rsidR="00013CB9" w:rsidRPr="00342E0F" w:rsidRDefault="00775F7A" w:rsidP="00342E0F">
            <w:pPr>
              <w:spacing w:after="0" w:line="240" w:lineRule="auto"/>
              <w:jc w:val="center"/>
              <w:rPr>
                <w:rFonts w:ascii="Arial" w:hAnsi="Arial" w:cs="Arial"/>
                <w:b/>
                <w:bCs/>
                <w:color w:val="000000"/>
              </w:rPr>
            </w:pPr>
            <w:r w:rsidRPr="00342E0F">
              <w:rPr>
                <w:rFonts w:ascii="Arial" w:hAnsi="Arial" w:cs="Arial"/>
                <w:b/>
                <w:bCs/>
                <w:color w:val="000000"/>
              </w:rPr>
              <w:t>Categories of Third Parties to whom the Personal Information is Disclosed</w:t>
            </w:r>
          </w:p>
        </w:tc>
      </w:tr>
      <w:tr w:rsidR="001A0E63" w14:paraId="0D93A544" w14:textId="77777777" w:rsidTr="009F2863">
        <w:tc>
          <w:tcPr>
            <w:tcW w:w="2051" w:type="pct"/>
          </w:tcPr>
          <w:p w14:paraId="03069922" w14:textId="2D1C0251"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Name, alias, postal address, unique personal identifier (e.g., employee identification number), online identifier, Internet Protocol address, email address, account name, social security number, driver’s license number, passport number, or other similar identifiers</w:t>
            </w:r>
          </w:p>
        </w:tc>
        <w:tc>
          <w:tcPr>
            <w:tcW w:w="1474" w:type="pct"/>
          </w:tcPr>
          <w:p w14:paraId="2F2D7283"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val="restart"/>
          </w:tcPr>
          <w:p w14:paraId="7D8ED82A" w14:textId="0C54C3B5"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 xml:space="preserve">Third-party service providers including, but not limited to, </w:t>
            </w:r>
            <w:r w:rsidR="00DF6F73">
              <w:rPr>
                <w:rFonts w:ascii="Arial" w:hAnsi="Arial" w:cs="Arial"/>
                <w:color w:val="000000"/>
              </w:rPr>
              <w:t>background check a</w:t>
            </w:r>
            <w:r w:rsidR="00D54BEE">
              <w:rPr>
                <w:rFonts w:ascii="Arial" w:hAnsi="Arial" w:cs="Arial"/>
                <w:color w:val="000000"/>
              </w:rPr>
              <w:t>gencies</w:t>
            </w:r>
            <w:r w:rsidR="00DF6F73">
              <w:rPr>
                <w:rFonts w:ascii="Arial" w:hAnsi="Arial" w:cs="Arial"/>
                <w:color w:val="000000"/>
              </w:rPr>
              <w:t xml:space="preserve">, </w:t>
            </w:r>
            <w:r w:rsidRPr="00342E0F">
              <w:rPr>
                <w:rFonts w:ascii="Arial" w:hAnsi="Arial" w:cs="Arial"/>
                <w:color w:val="000000"/>
              </w:rPr>
              <w:t>payroll processors, benefits administration providers</w:t>
            </w:r>
            <w:r w:rsidR="000529FF">
              <w:rPr>
                <w:rFonts w:ascii="Arial" w:hAnsi="Arial" w:cs="Arial"/>
                <w:color w:val="000000"/>
              </w:rPr>
              <w:t>, human resources information system provider, cyber-security firm</w:t>
            </w:r>
            <w:r w:rsidR="00D54BEE">
              <w:rPr>
                <w:rFonts w:ascii="Arial" w:hAnsi="Arial" w:cs="Arial"/>
                <w:color w:val="000000"/>
              </w:rPr>
              <w:t>s</w:t>
            </w:r>
            <w:r w:rsidR="000529FF">
              <w:rPr>
                <w:rFonts w:ascii="Arial" w:hAnsi="Arial" w:cs="Arial"/>
                <w:color w:val="000000"/>
              </w:rPr>
              <w:t>,</w:t>
            </w:r>
            <w:r w:rsidRPr="00342E0F">
              <w:rPr>
                <w:rFonts w:ascii="Arial" w:hAnsi="Arial" w:cs="Arial"/>
                <w:color w:val="000000"/>
              </w:rPr>
              <w:t xml:space="preserve"> and data storage or hosting providers as well as credit card vendors, travel agents and similar service providers who support the performance of employment responsibilities </w:t>
            </w:r>
          </w:p>
          <w:p w14:paraId="6C07CC86" w14:textId="77777777" w:rsidR="00013CB9" w:rsidRPr="00342E0F" w:rsidRDefault="00013CB9" w:rsidP="00342E0F">
            <w:pPr>
              <w:pStyle w:val="ListParagraph"/>
              <w:spacing w:after="0" w:line="240" w:lineRule="auto"/>
              <w:ind w:left="225"/>
              <w:rPr>
                <w:rFonts w:ascii="Arial" w:hAnsi="Arial" w:cs="Arial"/>
                <w:color w:val="000000"/>
              </w:rPr>
            </w:pPr>
          </w:p>
          <w:p w14:paraId="023E27E5" w14:textId="640D9E8D"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O</w:t>
            </w:r>
            <w:r w:rsidR="00342E0F">
              <w:rPr>
                <w:rFonts w:ascii="Arial" w:hAnsi="Arial" w:cs="Arial"/>
                <w:color w:val="000000"/>
              </w:rPr>
              <w:t>ur affiliates</w:t>
            </w:r>
          </w:p>
          <w:p w14:paraId="258D2F5F" w14:textId="77777777" w:rsidR="00013CB9" w:rsidRPr="00342E0F" w:rsidRDefault="00013CB9" w:rsidP="00342E0F">
            <w:pPr>
              <w:pStyle w:val="ListParagraph"/>
              <w:spacing w:after="0" w:line="240" w:lineRule="auto"/>
              <w:ind w:left="225"/>
              <w:rPr>
                <w:rFonts w:ascii="Arial" w:hAnsi="Arial" w:cs="Arial"/>
                <w:color w:val="000000"/>
              </w:rPr>
            </w:pPr>
          </w:p>
          <w:p w14:paraId="345F0550" w14:textId="77777777"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 xml:space="preserve">Government agencies or law enforcement to comply with legal obligations or valid </w:t>
            </w:r>
            <w:r w:rsidRPr="00342E0F">
              <w:rPr>
                <w:rFonts w:ascii="Arial" w:hAnsi="Arial" w:cs="Arial"/>
                <w:color w:val="000000"/>
              </w:rPr>
              <w:lastRenderedPageBreak/>
              <w:t>legal processes such as search warrants, subpoenas or court orders and to protect our rights and property or protect the rights, property or safety of others</w:t>
            </w:r>
          </w:p>
          <w:p w14:paraId="3C5BA894" w14:textId="77777777" w:rsidR="00013CB9" w:rsidRPr="00342E0F" w:rsidRDefault="00013CB9" w:rsidP="00342E0F">
            <w:pPr>
              <w:pStyle w:val="ListParagraph"/>
              <w:spacing w:after="0" w:line="240" w:lineRule="auto"/>
              <w:ind w:left="225"/>
              <w:rPr>
                <w:rFonts w:ascii="Arial" w:hAnsi="Arial" w:cs="Arial"/>
                <w:color w:val="000000"/>
              </w:rPr>
            </w:pPr>
          </w:p>
          <w:p w14:paraId="235EF96E" w14:textId="77777777"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 xml:space="preserve">Buyers/acquirors in the event of a </w:t>
            </w:r>
            <w:r w:rsidRPr="00342E0F">
              <w:rPr>
                <w:rFonts w:ascii="Arial" w:eastAsia="Times New Roman" w:hAnsi="Arial" w:cs="Arial"/>
              </w:rPr>
              <w:t>corporate transaction, including but not limited to a divestiture, merger, consolidation, or asset sale, or in the unlikely event of bankruptcy</w:t>
            </w:r>
          </w:p>
        </w:tc>
      </w:tr>
      <w:tr w:rsidR="001A0E63" w14:paraId="2BEFDF32" w14:textId="77777777" w:rsidTr="009F2863">
        <w:tc>
          <w:tcPr>
            <w:tcW w:w="2051" w:type="pct"/>
          </w:tcPr>
          <w:p w14:paraId="7437CCEF"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w:t>
            </w:r>
          </w:p>
        </w:tc>
        <w:tc>
          <w:tcPr>
            <w:tcW w:w="1474" w:type="pct"/>
          </w:tcPr>
          <w:p w14:paraId="1BBDE59C"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5F1E6404" w14:textId="77777777" w:rsidR="00013CB9" w:rsidRPr="00342E0F" w:rsidRDefault="00013CB9" w:rsidP="00342E0F">
            <w:pPr>
              <w:spacing w:after="0" w:line="240" w:lineRule="auto"/>
              <w:rPr>
                <w:rFonts w:ascii="Arial" w:hAnsi="Arial" w:cs="Arial"/>
                <w:color w:val="000000"/>
              </w:rPr>
            </w:pPr>
          </w:p>
        </w:tc>
      </w:tr>
      <w:tr w:rsidR="001A0E63" w14:paraId="51918EB6" w14:textId="77777777" w:rsidTr="009F2863">
        <w:tc>
          <w:tcPr>
            <w:tcW w:w="2051" w:type="pct"/>
          </w:tcPr>
          <w:p w14:paraId="2C5250AA"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Characteristics of protected classifications under California or federal law (e.g., race, color, national origin, gender (including pregnancy), disability, age (at least 40 years old), citizenship status, sexual orientation, gender identity and gender expression) </w:t>
            </w:r>
          </w:p>
        </w:tc>
        <w:tc>
          <w:tcPr>
            <w:tcW w:w="1474" w:type="pct"/>
          </w:tcPr>
          <w:p w14:paraId="6CED58E1"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6877A8BF" w14:textId="77777777" w:rsidR="00013CB9" w:rsidRPr="00342E0F" w:rsidRDefault="00013CB9" w:rsidP="00342E0F">
            <w:pPr>
              <w:spacing w:after="0" w:line="240" w:lineRule="auto"/>
              <w:rPr>
                <w:rFonts w:ascii="Arial" w:hAnsi="Arial" w:cs="Arial"/>
                <w:color w:val="000000"/>
              </w:rPr>
            </w:pPr>
          </w:p>
        </w:tc>
      </w:tr>
      <w:tr w:rsidR="001A0E63" w14:paraId="14118D83" w14:textId="77777777" w:rsidTr="009F2863">
        <w:tc>
          <w:tcPr>
            <w:tcW w:w="2051" w:type="pct"/>
          </w:tcPr>
          <w:p w14:paraId="334A3ADC" w14:textId="4074D183" w:rsidR="00013CB9" w:rsidRPr="00342E0F" w:rsidRDefault="00775F7A" w:rsidP="00342E0F">
            <w:pPr>
              <w:spacing w:after="0" w:line="240" w:lineRule="auto"/>
              <w:rPr>
                <w:rFonts w:ascii="Arial" w:hAnsi="Arial" w:cs="Arial"/>
                <w:color w:val="000000"/>
              </w:rPr>
            </w:pPr>
            <w:r w:rsidRPr="00342E0F">
              <w:rPr>
                <w:rFonts w:ascii="Arial" w:hAnsi="Arial" w:cs="Arial"/>
                <w:color w:val="000000"/>
              </w:rPr>
              <w:lastRenderedPageBreak/>
              <w:t xml:space="preserve">Internet or other electronic network activity information, including, but not limited to, browsing history, search history, and information regarding interaction with an internet website or application </w:t>
            </w:r>
          </w:p>
        </w:tc>
        <w:tc>
          <w:tcPr>
            <w:tcW w:w="1474" w:type="pct"/>
          </w:tcPr>
          <w:p w14:paraId="41C0E2B6"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1FC64353" w14:textId="77777777" w:rsidR="00013CB9" w:rsidRPr="00342E0F" w:rsidRDefault="00013CB9" w:rsidP="00342E0F">
            <w:pPr>
              <w:spacing w:after="0" w:line="240" w:lineRule="auto"/>
              <w:rPr>
                <w:rFonts w:ascii="Arial" w:hAnsi="Arial" w:cs="Arial"/>
                <w:color w:val="000000"/>
              </w:rPr>
            </w:pPr>
          </w:p>
        </w:tc>
      </w:tr>
      <w:tr w:rsidR="001A0E63" w14:paraId="4DE43FA1" w14:textId="77777777" w:rsidTr="009F2863">
        <w:tc>
          <w:tcPr>
            <w:tcW w:w="2051" w:type="pct"/>
          </w:tcPr>
          <w:p w14:paraId="006EA393"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Geolocation</w:t>
            </w:r>
          </w:p>
        </w:tc>
        <w:tc>
          <w:tcPr>
            <w:tcW w:w="1474" w:type="pct"/>
          </w:tcPr>
          <w:p w14:paraId="2F85EEBC"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40245BD8" w14:textId="77777777" w:rsidR="00013CB9" w:rsidRPr="00342E0F" w:rsidRDefault="00013CB9" w:rsidP="00342E0F">
            <w:pPr>
              <w:spacing w:after="0" w:line="240" w:lineRule="auto"/>
              <w:rPr>
                <w:rFonts w:ascii="Arial" w:hAnsi="Arial" w:cs="Arial"/>
                <w:color w:val="000000"/>
              </w:rPr>
            </w:pPr>
          </w:p>
        </w:tc>
      </w:tr>
      <w:tr w:rsidR="001A0E63" w14:paraId="24033BFA" w14:textId="77777777" w:rsidTr="009F2863">
        <w:tc>
          <w:tcPr>
            <w:tcW w:w="2051" w:type="pct"/>
          </w:tcPr>
          <w:p w14:paraId="4869D0AA"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Audio, electronic, visual, or similar information </w:t>
            </w:r>
          </w:p>
        </w:tc>
        <w:tc>
          <w:tcPr>
            <w:tcW w:w="1474" w:type="pct"/>
          </w:tcPr>
          <w:p w14:paraId="1E76E70C"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528A704E" w14:textId="77777777" w:rsidR="00013CB9" w:rsidRPr="00342E0F" w:rsidRDefault="00013CB9" w:rsidP="00342E0F">
            <w:pPr>
              <w:spacing w:after="0" w:line="240" w:lineRule="auto"/>
              <w:rPr>
                <w:rFonts w:ascii="Arial" w:hAnsi="Arial" w:cs="Arial"/>
                <w:color w:val="000000"/>
              </w:rPr>
            </w:pPr>
          </w:p>
        </w:tc>
      </w:tr>
      <w:tr w:rsidR="001A0E63" w14:paraId="0693194C" w14:textId="77777777" w:rsidTr="009F2863">
        <w:tc>
          <w:tcPr>
            <w:tcW w:w="2051" w:type="pct"/>
          </w:tcPr>
          <w:p w14:paraId="2B209EEB"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Professional or employment-related information </w:t>
            </w:r>
          </w:p>
        </w:tc>
        <w:tc>
          <w:tcPr>
            <w:tcW w:w="1474" w:type="pct"/>
          </w:tcPr>
          <w:p w14:paraId="1D7D6096"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6DEF0B58" w14:textId="77777777" w:rsidR="00013CB9" w:rsidRPr="00342E0F" w:rsidRDefault="00013CB9" w:rsidP="00342E0F">
            <w:pPr>
              <w:spacing w:after="0" w:line="240" w:lineRule="auto"/>
              <w:rPr>
                <w:rFonts w:ascii="Arial" w:hAnsi="Arial" w:cs="Arial"/>
                <w:color w:val="000000"/>
              </w:rPr>
            </w:pPr>
          </w:p>
        </w:tc>
      </w:tr>
      <w:tr w:rsidR="001A0E63" w14:paraId="45CF2E27" w14:textId="77777777" w:rsidTr="009F2863">
        <w:tc>
          <w:tcPr>
            <w:tcW w:w="2051" w:type="pct"/>
          </w:tcPr>
          <w:p w14:paraId="543E227E"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Education information </w:t>
            </w:r>
          </w:p>
        </w:tc>
        <w:tc>
          <w:tcPr>
            <w:tcW w:w="1474" w:type="pct"/>
          </w:tcPr>
          <w:p w14:paraId="6EBE2A37"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474" w:type="pct"/>
            <w:vMerge/>
          </w:tcPr>
          <w:p w14:paraId="10667625" w14:textId="77777777" w:rsidR="00013CB9" w:rsidRPr="00342E0F" w:rsidRDefault="00013CB9" w:rsidP="00342E0F">
            <w:pPr>
              <w:spacing w:after="0" w:line="240" w:lineRule="auto"/>
              <w:rPr>
                <w:rFonts w:ascii="Arial" w:hAnsi="Arial" w:cs="Arial"/>
                <w:color w:val="000000"/>
              </w:rPr>
            </w:pPr>
          </w:p>
        </w:tc>
      </w:tr>
      <w:bookmarkEnd w:id="0"/>
    </w:tbl>
    <w:p w14:paraId="1682E536" w14:textId="77777777" w:rsidR="00B2351A" w:rsidRDefault="00B2351A" w:rsidP="00B2351A">
      <w:pPr>
        <w:spacing w:after="0" w:line="240" w:lineRule="auto"/>
        <w:rPr>
          <w:rFonts w:ascii="Arial" w:hAnsi="Arial" w:cs="Arial"/>
        </w:rPr>
      </w:pPr>
    </w:p>
    <w:p w14:paraId="36A014F8" w14:textId="77777777" w:rsidR="00B2351A" w:rsidRDefault="00775F7A" w:rsidP="00B2351A">
      <w:pPr>
        <w:spacing w:after="0" w:line="240" w:lineRule="auto"/>
        <w:rPr>
          <w:rFonts w:ascii="Arial" w:hAnsi="Arial" w:cs="Arial"/>
        </w:rPr>
      </w:pPr>
      <w:r w:rsidRPr="003822DD">
        <w:rPr>
          <w:rFonts w:ascii="Arial" w:hAnsi="Arial" w:cs="Arial"/>
        </w:rPr>
        <w:t>We have “sold” or “shared” the following information collected from job applicants in the preceding 12 months:</w:t>
      </w:r>
    </w:p>
    <w:p w14:paraId="36514B75" w14:textId="77777777" w:rsidR="00B2351A" w:rsidRPr="003822DD" w:rsidRDefault="00B2351A" w:rsidP="00B2351A">
      <w:pPr>
        <w:spacing w:after="0" w:line="240" w:lineRule="auto"/>
        <w:rPr>
          <w:rFonts w:ascii="Arial" w:hAnsi="Arial" w:cs="Arial"/>
        </w:rPr>
      </w:pPr>
    </w:p>
    <w:tbl>
      <w:tblPr>
        <w:tblStyle w:val="TableGrid"/>
        <w:tblW w:w="0" w:type="auto"/>
        <w:tblLook w:val="04A0" w:firstRow="1" w:lastRow="0" w:firstColumn="1" w:lastColumn="0" w:noHBand="0" w:noVBand="1"/>
      </w:tblPr>
      <w:tblGrid>
        <w:gridCol w:w="3775"/>
        <w:gridCol w:w="2790"/>
        <w:gridCol w:w="2785"/>
      </w:tblGrid>
      <w:tr w:rsidR="001A0E63" w14:paraId="4188BC29" w14:textId="77777777" w:rsidTr="009F2863">
        <w:trPr>
          <w:tblHeader/>
        </w:trPr>
        <w:tc>
          <w:tcPr>
            <w:tcW w:w="3775" w:type="dxa"/>
            <w:shd w:val="clear" w:color="auto" w:fill="E8E8E8" w:themeFill="background2"/>
          </w:tcPr>
          <w:p w14:paraId="67C8876A" w14:textId="77777777" w:rsidR="00B2351A" w:rsidRPr="003822DD" w:rsidRDefault="00775F7A" w:rsidP="009F2863">
            <w:pPr>
              <w:spacing w:after="0" w:line="240" w:lineRule="auto"/>
              <w:jc w:val="center"/>
              <w:rPr>
                <w:rFonts w:ascii="Arial" w:hAnsi="Arial" w:cs="Arial"/>
                <w:b/>
                <w:bCs/>
              </w:rPr>
            </w:pPr>
            <w:r w:rsidRPr="003822DD">
              <w:rPr>
                <w:rFonts w:ascii="Arial" w:hAnsi="Arial" w:cs="Arial"/>
                <w:b/>
                <w:bCs/>
              </w:rPr>
              <w:t>Category</w:t>
            </w:r>
          </w:p>
        </w:tc>
        <w:tc>
          <w:tcPr>
            <w:tcW w:w="2790" w:type="dxa"/>
            <w:shd w:val="clear" w:color="auto" w:fill="E8E8E8" w:themeFill="background2"/>
          </w:tcPr>
          <w:p w14:paraId="12FFEB64" w14:textId="77777777" w:rsidR="00B2351A" w:rsidRPr="003822DD" w:rsidRDefault="00775F7A" w:rsidP="009F2863">
            <w:pPr>
              <w:spacing w:after="0" w:line="240" w:lineRule="auto"/>
              <w:jc w:val="center"/>
              <w:rPr>
                <w:rFonts w:ascii="Arial" w:hAnsi="Arial" w:cs="Arial"/>
                <w:b/>
                <w:bCs/>
              </w:rPr>
            </w:pPr>
            <w:r w:rsidRPr="003822DD">
              <w:rPr>
                <w:rFonts w:ascii="Arial" w:hAnsi="Arial" w:cs="Arial"/>
                <w:b/>
                <w:bCs/>
              </w:rPr>
              <w:t>“Sold” or “Shared”?</w:t>
            </w:r>
          </w:p>
        </w:tc>
        <w:tc>
          <w:tcPr>
            <w:tcW w:w="2785" w:type="dxa"/>
            <w:shd w:val="clear" w:color="auto" w:fill="E8E8E8" w:themeFill="background2"/>
          </w:tcPr>
          <w:p w14:paraId="7EF614CB" w14:textId="77777777" w:rsidR="00B2351A" w:rsidRPr="003822DD" w:rsidRDefault="00775F7A" w:rsidP="009F2863">
            <w:pPr>
              <w:spacing w:after="0" w:line="240" w:lineRule="auto"/>
              <w:jc w:val="center"/>
              <w:rPr>
                <w:rFonts w:ascii="Arial" w:hAnsi="Arial" w:cs="Arial"/>
                <w:b/>
                <w:bCs/>
              </w:rPr>
            </w:pPr>
            <w:r w:rsidRPr="003822DD">
              <w:rPr>
                <w:rFonts w:ascii="Arial" w:hAnsi="Arial" w:cs="Arial"/>
                <w:b/>
                <w:bCs/>
              </w:rPr>
              <w:t>Categories of Third Parties to whom the Personal Information is “Sold” or “Shared”</w:t>
            </w:r>
          </w:p>
        </w:tc>
      </w:tr>
      <w:tr w:rsidR="001A0E63" w14:paraId="1E987AB7" w14:textId="77777777" w:rsidTr="009F2863">
        <w:trPr>
          <w:trHeight w:val="1727"/>
        </w:trPr>
        <w:tc>
          <w:tcPr>
            <w:tcW w:w="3775" w:type="dxa"/>
          </w:tcPr>
          <w:p w14:paraId="35A75A05" w14:textId="3084BA9E" w:rsidR="00B2351A" w:rsidRPr="003822DD" w:rsidRDefault="00775F7A" w:rsidP="009F2863">
            <w:pPr>
              <w:spacing w:after="0" w:line="240" w:lineRule="auto"/>
              <w:rPr>
                <w:rFonts w:ascii="Arial" w:hAnsi="Arial" w:cs="Arial"/>
              </w:rPr>
            </w:pPr>
            <w:r w:rsidRPr="003822DD">
              <w:rPr>
                <w:rFonts w:ascii="Arial" w:hAnsi="Arial" w:cs="Arial"/>
              </w:rPr>
              <w:t>Internet or other electronic network activity information, including, but not limited to, browsing history, search history, and information regarding interaction with an internet website, application, or advertisement</w:t>
            </w:r>
          </w:p>
        </w:tc>
        <w:tc>
          <w:tcPr>
            <w:tcW w:w="2790" w:type="dxa"/>
          </w:tcPr>
          <w:p w14:paraId="70354595" w14:textId="77777777" w:rsidR="00B2351A" w:rsidRPr="003822DD" w:rsidRDefault="00775F7A" w:rsidP="009F2863">
            <w:pPr>
              <w:spacing w:after="0" w:line="240" w:lineRule="auto"/>
              <w:jc w:val="center"/>
              <w:rPr>
                <w:rFonts w:ascii="Arial" w:hAnsi="Arial" w:cs="Arial"/>
              </w:rPr>
            </w:pPr>
            <w:r w:rsidRPr="003822DD">
              <w:rPr>
                <w:rFonts w:ascii="Arial" w:hAnsi="Arial" w:cs="Arial"/>
              </w:rPr>
              <w:t>Yes</w:t>
            </w:r>
          </w:p>
        </w:tc>
        <w:tc>
          <w:tcPr>
            <w:tcW w:w="2785" w:type="dxa"/>
          </w:tcPr>
          <w:p w14:paraId="46BB682E" w14:textId="37F28DF6" w:rsidR="00B2351A" w:rsidRPr="003822DD" w:rsidRDefault="00775F7A" w:rsidP="009F2863">
            <w:pPr>
              <w:spacing w:after="0" w:line="240" w:lineRule="auto"/>
              <w:rPr>
                <w:rFonts w:ascii="Arial" w:hAnsi="Arial" w:cs="Arial"/>
              </w:rPr>
            </w:pPr>
            <w:r w:rsidRPr="003822DD">
              <w:rPr>
                <w:rFonts w:ascii="Arial" w:hAnsi="Arial" w:cs="Arial"/>
              </w:rPr>
              <w:t xml:space="preserve">Third-party service providers who provide website analytics or digital advertising services to </w:t>
            </w:r>
            <w:r w:rsidR="00C521AD">
              <w:rPr>
                <w:rFonts w:ascii="Arial" w:hAnsi="Arial" w:cs="Arial"/>
              </w:rPr>
              <w:t>ARKA</w:t>
            </w:r>
            <w:r w:rsidRPr="003822DD">
              <w:rPr>
                <w:rFonts w:ascii="Arial" w:hAnsi="Arial" w:cs="Arial"/>
              </w:rPr>
              <w:t xml:space="preserve"> relating to the </w:t>
            </w:r>
            <w:r w:rsidR="00C521AD">
              <w:rPr>
                <w:rFonts w:ascii="Arial" w:hAnsi="Arial" w:cs="Arial"/>
              </w:rPr>
              <w:t>ARKA</w:t>
            </w:r>
            <w:r w:rsidRPr="003822DD">
              <w:rPr>
                <w:rFonts w:ascii="Arial" w:hAnsi="Arial" w:cs="Arial"/>
              </w:rPr>
              <w:t xml:space="preserve"> </w:t>
            </w:r>
            <w:r>
              <w:rPr>
                <w:rFonts w:ascii="Arial" w:hAnsi="Arial" w:cs="Arial"/>
              </w:rPr>
              <w:t>webpage</w:t>
            </w:r>
            <w:r w:rsidRPr="003822DD">
              <w:rPr>
                <w:rFonts w:ascii="Arial" w:hAnsi="Arial" w:cs="Arial"/>
              </w:rPr>
              <w:t xml:space="preserve"> job applicants visit</w:t>
            </w:r>
          </w:p>
        </w:tc>
      </w:tr>
    </w:tbl>
    <w:p w14:paraId="1AA712A4" w14:textId="77777777" w:rsidR="00B2351A" w:rsidRDefault="00B2351A" w:rsidP="00342E0F">
      <w:pPr>
        <w:spacing w:after="0" w:line="240" w:lineRule="auto"/>
        <w:rPr>
          <w:rFonts w:ascii="Arial" w:hAnsi="Arial" w:cs="Arial"/>
        </w:rPr>
      </w:pPr>
    </w:p>
    <w:p w14:paraId="382A574C" w14:textId="0272DF0B" w:rsidR="00013CB9" w:rsidRDefault="00775F7A" w:rsidP="00342E0F">
      <w:pPr>
        <w:spacing w:after="0" w:line="240" w:lineRule="auto"/>
        <w:rPr>
          <w:rFonts w:ascii="Arial" w:hAnsi="Arial" w:cs="Arial"/>
        </w:rPr>
      </w:pPr>
      <w:r w:rsidRPr="00342E0F">
        <w:rPr>
          <w:rFonts w:ascii="Arial" w:hAnsi="Arial" w:cs="Arial"/>
        </w:rPr>
        <w:t>We collect, use and disclose the following categories of sensitive personal information regarding applicants, employees and their emergency contacts and beneficiaries, and independent contractors:</w:t>
      </w:r>
    </w:p>
    <w:p w14:paraId="2E172BD9" w14:textId="77777777" w:rsidR="00746ED4" w:rsidRPr="00342E0F" w:rsidRDefault="00746ED4" w:rsidP="00342E0F">
      <w:pPr>
        <w:spacing w:after="0" w:line="240" w:lineRule="auto"/>
        <w:rPr>
          <w:rFonts w:ascii="Arial" w:hAnsi="Arial" w:cs="Arial"/>
        </w:rPr>
      </w:pPr>
    </w:p>
    <w:tbl>
      <w:tblPr>
        <w:tblStyle w:val="TableGrid"/>
        <w:tblW w:w="5000" w:type="pct"/>
        <w:tblLook w:val="04A0" w:firstRow="1" w:lastRow="0" w:firstColumn="1" w:lastColumn="0" w:noHBand="0" w:noVBand="1"/>
      </w:tblPr>
      <w:tblGrid>
        <w:gridCol w:w="3727"/>
        <w:gridCol w:w="2812"/>
        <w:gridCol w:w="2811"/>
      </w:tblGrid>
      <w:tr w:rsidR="001A0E63" w14:paraId="75F06B0B" w14:textId="77777777" w:rsidTr="009F2863">
        <w:trPr>
          <w:tblHeader/>
        </w:trPr>
        <w:tc>
          <w:tcPr>
            <w:tcW w:w="1993" w:type="pct"/>
            <w:shd w:val="clear" w:color="auto" w:fill="E8E8E8" w:themeFill="background2"/>
          </w:tcPr>
          <w:p w14:paraId="4B63E33D" w14:textId="77777777" w:rsidR="00013CB9" w:rsidRPr="00342E0F" w:rsidRDefault="00775F7A" w:rsidP="00342E0F">
            <w:pPr>
              <w:spacing w:after="0" w:line="240" w:lineRule="auto"/>
              <w:jc w:val="center"/>
              <w:rPr>
                <w:rFonts w:ascii="Arial" w:hAnsi="Arial" w:cs="Arial"/>
                <w:b/>
                <w:bCs/>
                <w:color w:val="000000"/>
              </w:rPr>
            </w:pPr>
            <w:r w:rsidRPr="00342E0F">
              <w:rPr>
                <w:rFonts w:ascii="Arial" w:hAnsi="Arial" w:cs="Arial"/>
                <w:b/>
                <w:bCs/>
                <w:color w:val="000000"/>
              </w:rPr>
              <w:t>Categories of Sensitive Personal Information Collected</w:t>
            </w:r>
          </w:p>
        </w:tc>
        <w:tc>
          <w:tcPr>
            <w:tcW w:w="1504" w:type="pct"/>
            <w:shd w:val="clear" w:color="auto" w:fill="E8E8E8" w:themeFill="background2"/>
          </w:tcPr>
          <w:p w14:paraId="521172D3" w14:textId="77777777" w:rsidR="00013CB9" w:rsidRPr="00342E0F" w:rsidRDefault="00775F7A" w:rsidP="00342E0F">
            <w:pPr>
              <w:spacing w:after="0" w:line="240" w:lineRule="auto"/>
              <w:jc w:val="center"/>
              <w:rPr>
                <w:rFonts w:ascii="Arial" w:hAnsi="Arial" w:cs="Arial"/>
                <w:b/>
                <w:bCs/>
                <w:color w:val="000000"/>
              </w:rPr>
            </w:pPr>
            <w:r w:rsidRPr="00342E0F">
              <w:rPr>
                <w:rFonts w:ascii="Arial" w:hAnsi="Arial" w:cs="Arial"/>
                <w:b/>
                <w:bCs/>
                <w:color w:val="000000"/>
              </w:rPr>
              <w:t>Disclosed for a Business Purpose?</w:t>
            </w:r>
          </w:p>
        </w:tc>
        <w:tc>
          <w:tcPr>
            <w:tcW w:w="1503" w:type="pct"/>
            <w:shd w:val="clear" w:color="auto" w:fill="E8E8E8" w:themeFill="background2"/>
          </w:tcPr>
          <w:p w14:paraId="026EF66D" w14:textId="77777777" w:rsidR="00013CB9" w:rsidRPr="00342E0F" w:rsidRDefault="00775F7A" w:rsidP="00342E0F">
            <w:pPr>
              <w:spacing w:after="0" w:line="240" w:lineRule="auto"/>
              <w:jc w:val="center"/>
              <w:rPr>
                <w:rFonts w:ascii="Arial" w:hAnsi="Arial" w:cs="Arial"/>
                <w:b/>
                <w:bCs/>
                <w:color w:val="000000"/>
              </w:rPr>
            </w:pPr>
            <w:r w:rsidRPr="00342E0F">
              <w:rPr>
                <w:rFonts w:ascii="Arial" w:hAnsi="Arial" w:cs="Arial"/>
                <w:b/>
                <w:bCs/>
                <w:color w:val="000000"/>
              </w:rPr>
              <w:t>Categories of Third Parties to whom the Sensitive Personal Information is Disclosed</w:t>
            </w:r>
          </w:p>
        </w:tc>
      </w:tr>
      <w:tr w:rsidR="001A0E63" w14:paraId="5DB9065D" w14:textId="77777777" w:rsidTr="009F2863">
        <w:tc>
          <w:tcPr>
            <w:tcW w:w="1993" w:type="pct"/>
          </w:tcPr>
          <w:p w14:paraId="23476EB9"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Personal information that reveals social security, driver’s license, state identification card, or passport number</w:t>
            </w:r>
          </w:p>
        </w:tc>
        <w:tc>
          <w:tcPr>
            <w:tcW w:w="1504" w:type="pct"/>
          </w:tcPr>
          <w:p w14:paraId="066F8501"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503" w:type="pct"/>
            <w:vMerge w:val="restart"/>
          </w:tcPr>
          <w:p w14:paraId="7F4E2A03" w14:textId="150B3EB0"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 xml:space="preserve">Third-party service providers including, but not limited to, </w:t>
            </w:r>
            <w:r w:rsidR="00D54BEE">
              <w:rPr>
                <w:rFonts w:ascii="Arial" w:hAnsi="Arial" w:cs="Arial"/>
                <w:color w:val="000000"/>
              </w:rPr>
              <w:lastRenderedPageBreak/>
              <w:t xml:space="preserve">background check agencies, human resource information system providers, </w:t>
            </w:r>
            <w:r w:rsidRPr="00342E0F">
              <w:rPr>
                <w:rFonts w:ascii="Arial" w:hAnsi="Arial" w:cs="Arial"/>
                <w:color w:val="000000"/>
              </w:rPr>
              <w:t>payroll processors, benefits administration providers</w:t>
            </w:r>
            <w:r w:rsidR="00D54BEE">
              <w:rPr>
                <w:rFonts w:ascii="Arial" w:hAnsi="Arial" w:cs="Arial"/>
                <w:color w:val="000000"/>
              </w:rPr>
              <w:t>, cyber security firms,</w:t>
            </w:r>
            <w:r w:rsidRPr="00342E0F">
              <w:rPr>
                <w:rFonts w:ascii="Arial" w:hAnsi="Arial" w:cs="Arial"/>
                <w:color w:val="000000"/>
              </w:rPr>
              <w:t xml:space="preserve"> and data storage or hosting providers as well as credit card vendors, travel agents and similar service providers who support the performance of employment responsibilities </w:t>
            </w:r>
          </w:p>
          <w:p w14:paraId="74AEAD32" w14:textId="77777777" w:rsidR="00013CB9" w:rsidRPr="00342E0F" w:rsidRDefault="00013CB9" w:rsidP="00342E0F">
            <w:pPr>
              <w:pStyle w:val="ListParagraph"/>
              <w:spacing w:after="0" w:line="240" w:lineRule="auto"/>
              <w:ind w:left="225"/>
              <w:rPr>
                <w:rFonts w:ascii="Arial" w:hAnsi="Arial" w:cs="Arial"/>
                <w:color w:val="000000"/>
              </w:rPr>
            </w:pPr>
          </w:p>
          <w:p w14:paraId="75C8982B" w14:textId="0D91D1F1" w:rsidR="00342E0F"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O</w:t>
            </w:r>
            <w:r>
              <w:rPr>
                <w:rFonts w:ascii="Arial" w:hAnsi="Arial" w:cs="Arial"/>
                <w:color w:val="000000"/>
              </w:rPr>
              <w:t>ur affiliates</w:t>
            </w:r>
          </w:p>
          <w:p w14:paraId="231C7784" w14:textId="77777777" w:rsidR="00013CB9" w:rsidRPr="00342E0F" w:rsidRDefault="00013CB9" w:rsidP="00342E0F">
            <w:pPr>
              <w:pStyle w:val="ListParagraph"/>
              <w:spacing w:after="0" w:line="240" w:lineRule="auto"/>
              <w:ind w:left="225"/>
              <w:rPr>
                <w:rFonts w:ascii="Arial" w:hAnsi="Arial" w:cs="Arial"/>
                <w:color w:val="000000"/>
              </w:rPr>
            </w:pPr>
          </w:p>
          <w:p w14:paraId="1621D201" w14:textId="77777777"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Government agencies or law enforcement to comply with legal obligations or valid legal processes such as search warrants, subpoenas or court orders and to protect our rights and property or protect the rights, property or safety of others</w:t>
            </w:r>
          </w:p>
          <w:p w14:paraId="2A823C0B" w14:textId="77777777" w:rsidR="00013CB9" w:rsidRPr="00342E0F" w:rsidRDefault="00013CB9" w:rsidP="00342E0F">
            <w:pPr>
              <w:pStyle w:val="ListParagraph"/>
              <w:spacing w:after="0" w:line="240" w:lineRule="auto"/>
              <w:rPr>
                <w:rFonts w:ascii="Arial" w:hAnsi="Arial" w:cs="Arial"/>
                <w:color w:val="000000"/>
              </w:rPr>
            </w:pPr>
          </w:p>
          <w:p w14:paraId="61463701" w14:textId="77777777" w:rsidR="00013CB9" w:rsidRPr="00342E0F" w:rsidRDefault="00775F7A" w:rsidP="00342E0F">
            <w:pPr>
              <w:pStyle w:val="ListParagraph"/>
              <w:numPr>
                <w:ilvl w:val="0"/>
                <w:numId w:val="9"/>
              </w:numPr>
              <w:spacing w:after="0" w:line="240" w:lineRule="auto"/>
              <w:ind w:left="225" w:hanging="180"/>
              <w:rPr>
                <w:rFonts w:ascii="Arial" w:hAnsi="Arial" w:cs="Arial"/>
                <w:color w:val="000000"/>
              </w:rPr>
            </w:pPr>
            <w:r w:rsidRPr="00342E0F">
              <w:rPr>
                <w:rFonts w:ascii="Arial" w:hAnsi="Arial" w:cs="Arial"/>
                <w:color w:val="000000"/>
              </w:rPr>
              <w:t xml:space="preserve">Buyers/acquirors in the event of a </w:t>
            </w:r>
            <w:r w:rsidRPr="00342E0F">
              <w:rPr>
                <w:rFonts w:ascii="Arial" w:eastAsia="Times New Roman" w:hAnsi="Arial" w:cs="Arial"/>
              </w:rPr>
              <w:t>corporate transaction, including but not limited to a divestiture, merger, consolidation, or asset sale, or in the unlikely event of bankruptcy</w:t>
            </w:r>
          </w:p>
        </w:tc>
      </w:tr>
      <w:tr w:rsidR="001A0E63" w14:paraId="4D88AA21" w14:textId="77777777" w:rsidTr="009F2863">
        <w:tc>
          <w:tcPr>
            <w:tcW w:w="1993" w:type="pct"/>
          </w:tcPr>
          <w:p w14:paraId="1E36184C" w14:textId="77777777" w:rsidR="00013CB9" w:rsidRPr="00342E0F" w:rsidRDefault="00775F7A" w:rsidP="00342E0F">
            <w:pPr>
              <w:spacing w:after="0" w:line="240" w:lineRule="auto"/>
              <w:rPr>
                <w:rFonts w:ascii="Arial" w:hAnsi="Arial" w:cs="Arial"/>
                <w:color w:val="000000"/>
              </w:rPr>
            </w:pPr>
            <w:r w:rsidRPr="00342E0F">
              <w:rPr>
                <w:rFonts w:ascii="Arial" w:hAnsi="Arial" w:cs="Arial"/>
                <w:color w:val="000000"/>
              </w:rPr>
              <w:lastRenderedPageBreak/>
              <w:t>Personal information that reveals account log-in, financial account, debit card, or credit card number in combination with any required security or access code, password, or credentials allowing access to an account</w:t>
            </w:r>
          </w:p>
        </w:tc>
        <w:tc>
          <w:tcPr>
            <w:tcW w:w="1504" w:type="pct"/>
          </w:tcPr>
          <w:p w14:paraId="1C4ECE6A"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503" w:type="pct"/>
            <w:vMerge/>
          </w:tcPr>
          <w:p w14:paraId="165171D5" w14:textId="77777777" w:rsidR="00013CB9" w:rsidRPr="00342E0F" w:rsidRDefault="00013CB9" w:rsidP="00342E0F">
            <w:pPr>
              <w:spacing w:after="0" w:line="240" w:lineRule="auto"/>
              <w:rPr>
                <w:rFonts w:ascii="Arial" w:hAnsi="Arial" w:cs="Arial"/>
                <w:color w:val="000000"/>
              </w:rPr>
            </w:pPr>
          </w:p>
        </w:tc>
      </w:tr>
      <w:tr w:rsidR="001A0E63" w14:paraId="427A6001" w14:textId="77777777" w:rsidTr="009F2863">
        <w:tc>
          <w:tcPr>
            <w:tcW w:w="1993" w:type="pct"/>
          </w:tcPr>
          <w:p w14:paraId="0EF3A535" w14:textId="702B4E80"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The contents of mail, email or text messages, where </w:t>
            </w:r>
            <w:r w:rsidR="00C521AD">
              <w:rPr>
                <w:rFonts w:ascii="Arial" w:hAnsi="Arial" w:cs="Arial"/>
                <w:color w:val="000000"/>
              </w:rPr>
              <w:t>ARKA</w:t>
            </w:r>
            <w:r w:rsidRPr="00342E0F">
              <w:rPr>
                <w:rFonts w:ascii="Arial" w:hAnsi="Arial" w:cs="Arial"/>
                <w:color w:val="000000"/>
              </w:rPr>
              <w:t xml:space="preserve"> is not the intended recipient of the communication</w:t>
            </w:r>
          </w:p>
        </w:tc>
        <w:tc>
          <w:tcPr>
            <w:tcW w:w="1504" w:type="pct"/>
          </w:tcPr>
          <w:p w14:paraId="3415A757" w14:textId="2691AFED"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503" w:type="pct"/>
            <w:vMerge/>
          </w:tcPr>
          <w:p w14:paraId="3DC17A37" w14:textId="77777777" w:rsidR="00013CB9" w:rsidRPr="00342E0F" w:rsidRDefault="00013CB9" w:rsidP="00342E0F">
            <w:pPr>
              <w:spacing w:after="0" w:line="240" w:lineRule="auto"/>
              <w:rPr>
                <w:rFonts w:ascii="Arial" w:hAnsi="Arial" w:cs="Arial"/>
                <w:color w:val="000000"/>
              </w:rPr>
            </w:pPr>
          </w:p>
        </w:tc>
      </w:tr>
      <w:tr w:rsidR="001A0E63" w14:paraId="57956FDE" w14:textId="77777777" w:rsidTr="009F2863">
        <w:tc>
          <w:tcPr>
            <w:tcW w:w="1993" w:type="pct"/>
          </w:tcPr>
          <w:p w14:paraId="5D5ABB74" w14:textId="4C5A6940"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Personal information that reveals racial or ethnic origin</w:t>
            </w:r>
          </w:p>
        </w:tc>
        <w:tc>
          <w:tcPr>
            <w:tcW w:w="1504" w:type="pct"/>
          </w:tcPr>
          <w:p w14:paraId="7CD649EC"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503" w:type="pct"/>
            <w:vMerge/>
          </w:tcPr>
          <w:p w14:paraId="43DEDB72" w14:textId="77777777" w:rsidR="00013CB9" w:rsidRPr="00342E0F" w:rsidRDefault="00013CB9" w:rsidP="00342E0F">
            <w:pPr>
              <w:spacing w:after="0" w:line="240" w:lineRule="auto"/>
              <w:rPr>
                <w:rFonts w:ascii="Arial" w:hAnsi="Arial" w:cs="Arial"/>
                <w:color w:val="000000"/>
              </w:rPr>
            </w:pPr>
          </w:p>
        </w:tc>
      </w:tr>
      <w:tr w:rsidR="001A0E63" w14:paraId="4F2B01EB" w14:textId="77777777" w:rsidTr="009F2863">
        <w:tc>
          <w:tcPr>
            <w:tcW w:w="1993" w:type="pct"/>
          </w:tcPr>
          <w:p w14:paraId="1AF16E1E" w14:textId="027A6908" w:rsidR="00013CB9" w:rsidRPr="00342E0F" w:rsidRDefault="00775F7A" w:rsidP="00342E0F">
            <w:pPr>
              <w:spacing w:after="0" w:line="240" w:lineRule="auto"/>
              <w:rPr>
                <w:rFonts w:ascii="Arial" w:hAnsi="Arial" w:cs="Arial"/>
                <w:color w:val="000000"/>
              </w:rPr>
            </w:pPr>
            <w:r w:rsidRPr="00342E0F">
              <w:rPr>
                <w:rFonts w:ascii="Arial" w:hAnsi="Arial" w:cs="Arial"/>
                <w:color w:val="000000"/>
              </w:rPr>
              <w:t xml:space="preserve">Personal information collected and analyzed concerning an individual’s health </w:t>
            </w:r>
          </w:p>
        </w:tc>
        <w:tc>
          <w:tcPr>
            <w:tcW w:w="1504" w:type="pct"/>
          </w:tcPr>
          <w:p w14:paraId="3B1A3FE7" w14:textId="77777777" w:rsidR="00013CB9" w:rsidRPr="00342E0F" w:rsidRDefault="00775F7A" w:rsidP="00342E0F">
            <w:pPr>
              <w:spacing w:after="0" w:line="240" w:lineRule="auto"/>
              <w:jc w:val="center"/>
              <w:rPr>
                <w:rFonts w:ascii="Arial" w:hAnsi="Arial" w:cs="Arial"/>
                <w:color w:val="000000"/>
              </w:rPr>
            </w:pPr>
            <w:r w:rsidRPr="00342E0F">
              <w:rPr>
                <w:rFonts w:ascii="Arial" w:hAnsi="Arial" w:cs="Arial"/>
                <w:color w:val="000000"/>
              </w:rPr>
              <w:t>Yes</w:t>
            </w:r>
          </w:p>
        </w:tc>
        <w:tc>
          <w:tcPr>
            <w:tcW w:w="1503" w:type="pct"/>
            <w:vMerge/>
          </w:tcPr>
          <w:p w14:paraId="791253EF" w14:textId="77777777" w:rsidR="00013CB9" w:rsidRPr="00342E0F" w:rsidRDefault="00013CB9" w:rsidP="00342E0F">
            <w:pPr>
              <w:spacing w:after="0" w:line="240" w:lineRule="auto"/>
              <w:rPr>
                <w:rFonts w:ascii="Arial" w:hAnsi="Arial" w:cs="Arial"/>
                <w:color w:val="000000"/>
              </w:rPr>
            </w:pPr>
          </w:p>
        </w:tc>
      </w:tr>
    </w:tbl>
    <w:p w14:paraId="03A5D605" w14:textId="77777777" w:rsidR="00342E0F" w:rsidRDefault="00342E0F" w:rsidP="00342E0F">
      <w:pPr>
        <w:spacing w:after="0" w:line="240" w:lineRule="auto"/>
        <w:rPr>
          <w:rFonts w:ascii="Arial" w:hAnsi="Arial" w:cs="Arial"/>
        </w:rPr>
      </w:pPr>
    </w:p>
    <w:p w14:paraId="6D660E80" w14:textId="55FB0F6B" w:rsidR="00013CB9" w:rsidRPr="00342E0F" w:rsidRDefault="00C521AD" w:rsidP="00342E0F">
      <w:pPr>
        <w:spacing w:after="0" w:line="240" w:lineRule="auto"/>
        <w:rPr>
          <w:rFonts w:ascii="Arial" w:hAnsi="Arial" w:cs="Arial"/>
        </w:rPr>
      </w:pPr>
      <w:r>
        <w:rPr>
          <w:rFonts w:ascii="Arial" w:hAnsi="Arial" w:cs="Arial"/>
        </w:rPr>
        <w:t>ARKA</w:t>
      </w:r>
      <w:r w:rsidR="00775F7A" w:rsidRPr="00342E0F">
        <w:rPr>
          <w:rFonts w:ascii="Arial" w:hAnsi="Arial" w:cs="Arial"/>
        </w:rPr>
        <w:t xml:space="preserve"> does not use or disclose the above sensitive personal information for any purpose other than those permitted under the CPRA.</w:t>
      </w:r>
    </w:p>
    <w:p w14:paraId="0C49DC2C" w14:textId="77777777" w:rsidR="00342E0F" w:rsidRDefault="00342E0F" w:rsidP="00342E0F">
      <w:pPr>
        <w:spacing w:after="0" w:line="240" w:lineRule="auto"/>
        <w:rPr>
          <w:rFonts w:ascii="Arial" w:hAnsi="Arial" w:cs="Arial"/>
        </w:rPr>
      </w:pPr>
    </w:p>
    <w:p w14:paraId="1DA15314" w14:textId="65532D7E" w:rsidR="00342E0F" w:rsidRDefault="00775F7A" w:rsidP="00342E0F">
      <w:pPr>
        <w:spacing w:after="0" w:line="240" w:lineRule="auto"/>
        <w:rPr>
          <w:rFonts w:ascii="Arial" w:hAnsi="Arial" w:cs="Arial"/>
        </w:rPr>
      </w:pPr>
      <w:r w:rsidRPr="00342E0F">
        <w:rPr>
          <w:rFonts w:ascii="Arial" w:hAnsi="Arial" w:cs="Arial"/>
        </w:rPr>
        <w:lastRenderedPageBreak/>
        <w:t xml:space="preserve">The personal information, including the sensitive personal information, described above are collected directly from you when you apply for employment and during your employment or from other sources such as benefit providers, third parties for reference checks (e.g., past employers), recruitment agencies, background check agencies, timekeeping software, internal or third-party tracking of usage of </w:t>
      </w:r>
      <w:r w:rsidR="00C521AD">
        <w:rPr>
          <w:rFonts w:ascii="Arial" w:hAnsi="Arial" w:cs="Arial"/>
        </w:rPr>
        <w:t>ARKA</w:t>
      </w:r>
      <w:r w:rsidRPr="00342E0F">
        <w:rPr>
          <w:rFonts w:ascii="Arial" w:hAnsi="Arial" w:cs="Arial"/>
        </w:rPr>
        <w:t xml:space="preserve"> email and telephone systems and computer networks, public agencies (e.g., tax authorities, the California Department of Fair Employment and Housing, the California Labor Commissioner, the California Occupational Safety Administration, and if applicable to the position, the California Department of Motor Vehicles), workers’ compensation carriers, law enforcement agencies and litigation. </w:t>
      </w:r>
      <w:r w:rsidR="00B2351A" w:rsidRPr="00B2351A">
        <w:rPr>
          <w:rFonts w:ascii="Arial" w:hAnsi="Arial" w:cs="Arial"/>
        </w:rPr>
        <w:t>With the limited exception of internet or other network activity that may be collected and shared with our third</w:t>
      </w:r>
      <w:r w:rsidR="00B2351A">
        <w:rPr>
          <w:rFonts w:ascii="Arial" w:hAnsi="Arial" w:cs="Arial"/>
        </w:rPr>
        <w:t>-</w:t>
      </w:r>
      <w:r w:rsidR="00B2351A" w:rsidRPr="00B2351A">
        <w:rPr>
          <w:rFonts w:ascii="Arial" w:hAnsi="Arial" w:cs="Arial"/>
        </w:rPr>
        <w:t xml:space="preserve">party website analytics and digital advertising service providers if you visit our website, such information is not sold or shared as such terms are defined under the CPRA. See the Section of this privacy notice, below, entitled “CPRA Rights” for more information about how to opt-out of the sale or sharing of personal information. </w:t>
      </w:r>
      <w:r w:rsidR="00C521AD">
        <w:rPr>
          <w:rFonts w:ascii="Arial" w:hAnsi="Arial" w:cs="Arial"/>
        </w:rPr>
        <w:t>ARKA</w:t>
      </w:r>
      <w:r w:rsidR="00B2351A" w:rsidRPr="00B2351A">
        <w:rPr>
          <w:rFonts w:ascii="Arial" w:hAnsi="Arial" w:cs="Arial"/>
        </w:rPr>
        <w:t xml:space="preserve"> does not have actual knowledge that it sells or shares such information of children under 18 years of age.</w:t>
      </w:r>
    </w:p>
    <w:p w14:paraId="0F18DE63" w14:textId="77777777" w:rsidR="00D933AF" w:rsidRDefault="00D933AF" w:rsidP="00342E0F">
      <w:pPr>
        <w:spacing w:after="0" w:line="240" w:lineRule="auto"/>
        <w:rPr>
          <w:rFonts w:ascii="Arial" w:hAnsi="Arial" w:cs="Arial"/>
        </w:rPr>
      </w:pPr>
    </w:p>
    <w:p w14:paraId="6CAA9922" w14:textId="77777777" w:rsidR="00013CB9" w:rsidRDefault="00775F7A" w:rsidP="00342E0F">
      <w:pPr>
        <w:spacing w:after="0" w:line="240" w:lineRule="auto"/>
        <w:rPr>
          <w:rFonts w:ascii="Arial" w:hAnsi="Arial" w:cs="Arial"/>
        </w:rPr>
      </w:pPr>
      <w:r w:rsidRPr="00342E0F">
        <w:rPr>
          <w:rFonts w:ascii="Arial" w:hAnsi="Arial" w:cs="Arial"/>
        </w:rPr>
        <w:t xml:space="preserve">We use the personal information, including the sensitive personal information, described above only for business purposes related to your employment or independent contractor relationship. Those purposes may include: </w:t>
      </w:r>
    </w:p>
    <w:p w14:paraId="4343D31F" w14:textId="77777777" w:rsidR="00342E0F" w:rsidRPr="00342E0F" w:rsidRDefault="00342E0F" w:rsidP="00342E0F">
      <w:pPr>
        <w:spacing w:after="0" w:line="240" w:lineRule="auto"/>
        <w:rPr>
          <w:rFonts w:ascii="Arial" w:hAnsi="Arial" w:cs="Arial"/>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1A0E63" w14:paraId="082CA060" w14:textId="77777777" w:rsidTr="009F2863">
        <w:tc>
          <w:tcPr>
            <w:tcW w:w="8460" w:type="dxa"/>
          </w:tcPr>
          <w:p w14:paraId="67C192E1"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 xml:space="preserve">To evaluate an applicant’s qualifications and suitability for employment  </w:t>
            </w:r>
          </w:p>
        </w:tc>
      </w:tr>
      <w:tr w:rsidR="001A0E63" w14:paraId="38BD7115" w14:textId="77777777" w:rsidTr="009F2863">
        <w:tc>
          <w:tcPr>
            <w:tcW w:w="8460" w:type="dxa"/>
          </w:tcPr>
          <w:p w14:paraId="33114629"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 xml:space="preserve">To evaluate an employee’s performance  </w:t>
            </w:r>
          </w:p>
        </w:tc>
      </w:tr>
      <w:tr w:rsidR="001A0E63" w14:paraId="040DB625" w14:textId="77777777" w:rsidTr="009F2863">
        <w:tc>
          <w:tcPr>
            <w:tcW w:w="8460" w:type="dxa"/>
          </w:tcPr>
          <w:p w14:paraId="56A7F277"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administer pre-employment and post-employment tests and training activity</w:t>
            </w:r>
          </w:p>
        </w:tc>
      </w:tr>
      <w:tr w:rsidR="001A0E63" w14:paraId="3FAA8396" w14:textId="77777777" w:rsidTr="009F2863">
        <w:tc>
          <w:tcPr>
            <w:tcW w:w="8460" w:type="dxa"/>
          </w:tcPr>
          <w:p w14:paraId="1D116709"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complete the onboarding process</w:t>
            </w:r>
          </w:p>
        </w:tc>
      </w:tr>
      <w:tr w:rsidR="001A0E63" w14:paraId="4F0AEF90" w14:textId="77777777" w:rsidTr="009F2863">
        <w:tc>
          <w:tcPr>
            <w:tcW w:w="8460" w:type="dxa"/>
          </w:tcPr>
          <w:p w14:paraId="0B86D7A1"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conduct criminal and other background checks</w:t>
            </w:r>
          </w:p>
        </w:tc>
      </w:tr>
      <w:tr w:rsidR="001A0E63" w14:paraId="0752D6F0" w14:textId="77777777" w:rsidTr="009F2863">
        <w:tc>
          <w:tcPr>
            <w:tcW w:w="8460" w:type="dxa"/>
          </w:tcPr>
          <w:p w14:paraId="71954A5D"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manage the terms and conditions of employment, such as payment of wages/salary, direct deposit authorization, the provision and administration of benefits and leaves of absence and maintenance of emergency contact information</w:t>
            </w:r>
          </w:p>
        </w:tc>
      </w:tr>
      <w:tr w:rsidR="001A0E63" w14:paraId="45D0622C" w14:textId="77777777" w:rsidTr="009F2863">
        <w:tc>
          <w:tcPr>
            <w:tcW w:w="8460" w:type="dxa"/>
          </w:tcPr>
          <w:p w14:paraId="100C6020"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process work related claims (e.g., insurance claims)</w:t>
            </w:r>
          </w:p>
        </w:tc>
      </w:tr>
      <w:tr w:rsidR="001A0E63" w14:paraId="1C525FCF" w14:textId="77777777" w:rsidTr="009F2863">
        <w:tc>
          <w:tcPr>
            <w:tcW w:w="8460" w:type="dxa"/>
          </w:tcPr>
          <w:p w14:paraId="665314D0"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prepare and maintain legally required records, such as I-9 forms, EEO-1 forms and affirmative action plans</w:t>
            </w:r>
          </w:p>
        </w:tc>
      </w:tr>
      <w:tr w:rsidR="001A0E63" w14:paraId="65B7E70D" w14:textId="77777777" w:rsidTr="009F2863">
        <w:tc>
          <w:tcPr>
            <w:tcW w:w="8460" w:type="dxa"/>
          </w:tcPr>
          <w:p w14:paraId="1F323F6C"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provide a safe work environment</w:t>
            </w:r>
          </w:p>
        </w:tc>
      </w:tr>
      <w:tr w:rsidR="001A0E63" w14:paraId="2146381F" w14:textId="77777777" w:rsidTr="009F2863">
        <w:tc>
          <w:tcPr>
            <w:tcW w:w="8460" w:type="dxa"/>
          </w:tcPr>
          <w:p w14:paraId="5B27CF3D"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manage employee timekeeping</w:t>
            </w:r>
          </w:p>
        </w:tc>
      </w:tr>
      <w:tr w:rsidR="001A0E63" w14:paraId="433F517D" w14:textId="77777777" w:rsidTr="009F2863">
        <w:tc>
          <w:tcPr>
            <w:tcW w:w="8460" w:type="dxa"/>
          </w:tcPr>
          <w:p w14:paraId="1DE3B263"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maintain information regarding training, disciplinary action, injuries and other employment history</w:t>
            </w:r>
          </w:p>
        </w:tc>
      </w:tr>
      <w:tr w:rsidR="001A0E63" w14:paraId="1E093BC1" w14:textId="77777777" w:rsidTr="009F2863">
        <w:tc>
          <w:tcPr>
            <w:tcW w:w="8460" w:type="dxa"/>
          </w:tcPr>
          <w:p w14:paraId="6F25F3DC"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ensure compliance with company policies and regulatory and legal requirements</w:t>
            </w:r>
          </w:p>
        </w:tc>
      </w:tr>
      <w:tr w:rsidR="001A0E63" w14:paraId="1536DFAA" w14:textId="77777777" w:rsidTr="009F2863">
        <w:tc>
          <w:tcPr>
            <w:tcW w:w="8460" w:type="dxa"/>
          </w:tcPr>
          <w:p w14:paraId="63462644"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meet tax obligations</w:t>
            </w:r>
          </w:p>
        </w:tc>
      </w:tr>
      <w:tr w:rsidR="001A0E63" w14:paraId="2E997CA0" w14:textId="77777777" w:rsidTr="009F2863">
        <w:tc>
          <w:tcPr>
            <w:tcW w:w="8460" w:type="dxa"/>
          </w:tcPr>
          <w:p w14:paraId="752F31E1"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 xml:space="preserve">To detect security incidents, protect against malicious, deceptive, fraudulent, or illegal activity, and prosecute those responsible for that activity </w:t>
            </w:r>
          </w:p>
        </w:tc>
      </w:tr>
      <w:tr w:rsidR="001A0E63" w14:paraId="57CAF13B" w14:textId="77777777" w:rsidTr="009F2863">
        <w:tc>
          <w:tcPr>
            <w:tcW w:w="8460" w:type="dxa"/>
          </w:tcPr>
          <w:p w14:paraId="514ED194" w14:textId="77777777" w:rsidR="00013CB9" w:rsidRPr="00D54BEE" w:rsidRDefault="00775F7A" w:rsidP="00D54BEE">
            <w:pPr>
              <w:pStyle w:val="ListParagraph"/>
              <w:numPr>
                <w:ilvl w:val="0"/>
                <w:numId w:val="11"/>
              </w:numPr>
              <w:spacing w:after="0" w:line="240" w:lineRule="auto"/>
              <w:rPr>
                <w:rFonts w:ascii="Arial" w:hAnsi="Arial" w:cs="Arial"/>
                <w:color w:val="000000"/>
              </w:rPr>
            </w:pPr>
            <w:r w:rsidRPr="00D54BEE">
              <w:rPr>
                <w:rFonts w:ascii="Arial" w:hAnsi="Arial" w:cs="Arial"/>
                <w:color w:val="000000"/>
              </w:rPr>
              <w:t>To achieve other operational purposes for which the personal information was collected that are compatible with the context in which the personal information was collected and our employment or independent contractor relationship</w:t>
            </w:r>
          </w:p>
        </w:tc>
      </w:tr>
    </w:tbl>
    <w:p w14:paraId="1F9555CD" w14:textId="77777777" w:rsidR="00013CB9" w:rsidRPr="00342E0F" w:rsidRDefault="00013CB9" w:rsidP="00342E0F">
      <w:pPr>
        <w:spacing w:after="0" w:line="240" w:lineRule="auto"/>
        <w:rPr>
          <w:rFonts w:ascii="Arial" w:hAnsi="Arial" w:cs="Arial"/>
        </w:rPr>
      </w:pPr>
    </w:p>
    <w:p w14:paraId="3F096C7E" w14:textId="77777777" w:rsidR="00013CB9" w:rsidRPr="00342E0F" w:rsidRDefault="00775F7A" w:rsidP="00342E0F">
      <w:pPr>
        <w:spacing w:after="0" w:line="240" w:lineRule="auto"/>
        <w:rPr>
          <w:rFonts w:ascii="Arial" w:hAnsi="Arial" w:cs="Arial"/>
        </w:rPr>
      </w:pPr>
      <w:r w:rsidRPr="00342E0F">
        <w:rPr>
          <w:rFonts w:ascii="Arial" w:hAnsi="Arial" w:cs="Arial"/>
        </w:rPr>
        <w:t>We will retain the personal information, including sensitive personal information, described above as long as necessary to fulfill the purpose for which it was collected, or as required by applicable laws or regulation.</w:t>
      </w:r>
    </w:p>
    <w:p w14:paraId="67940180" w14:textId="77777777" w:rsidR="00013CB9" w:rsidRPr="00342E0F" w:rsidRDefault="00013CB9" w:rsidP="00342E0F">
      <w:pPr>
        <w:spacing w:after="0" w:line="240" w:lineRule="auto"/>
        <w:rPr>
          <w:rFonts w:ascii="Arial" w:hAnsi="Arial" w:cs="Arial"/>
        </w:rPr>
      </w:pPr>
    </w:p>
    <w:p w14:paraId="340A82A3" w14:textId="77777777" w:rsidR="00013CB9" w:rsidRPr="00342E0F" w:rsidRDefault="00775F7A" w:rsidP="00342E0F">
      <w:pPr>
        <w:spacing w:after="0" w:line="240" w:lineRule="auto"/>
        <w:rPr>
          <w:rFonts w:ascii="Arial" w:hAnsi="Arial" w:cs="Arial"/>
          <w:b/>
          <w:bCs/>
        </w:rPr>
      </w:pPr>
      <w:r w:rsidRPr="00342E0F">
        <w:rPr>
          <w:rFonts w:ascii="Arial" w:hAnsi="Arial" w:cs="Arial"/>
          <w:b/>
          <w:bCs/>
        </w:rPr>
        <w:t>CPRA Rights</w:t>
      </w:r>
    </w:p>
    <w:p w14:paraId="124279B7" w14:textId="77777777" w:rsidR="00013CB9" w:rsidRPr="00342E0F" w:rsidRDefault="00013CB9" w:rsidP="00342E0F">
      <w:pPr>
        <w:spacing w:after="0" w:line="240" w:lineRule="auto"/>
        <w:rPr>
          <w:rFonts w:ascii="Arial" w:hAnsi="Arial" w:cs="Arial"/>
        </w:rPr>
      </w:pPr>
    </w:p>
    <w:p w14:paraId="1B44146F" w14:textId="77777777" w:rsidR="00013CB9" w:rsidRPr="00342E0F" w:rsidRDefault="00775F7A" w:rsidP="00342E0F">
      <w:pPr>
        <w:spacing w:after="0" w:line="240" w:lineRule="auto"/>
        <w:rPr>
          <w:rFonts w:ascii="Arial" w:hAnsi="Arial" w:cs="Arial"/>
        </w:rPr>
      </w:pPr>
      <w:r w:rsidRPr="00342E0F">
        <w:rPr>
          <w:rFonts w:ascii="Arial" w:hAnsi="Arial" w:cs="Arial"/>
        </w:rPr>
        <w:t>As a California resident, you have the following rights under the CPRA:</w:t>
      </w:r>
    </w:p>
    <w:p w14:paraId="1DD0AD95" w14:textId="77777777" w:rsidR="00013CB9" w:rsidRPr="00342E0F" w:rsidRDefault="00013CB9" w:rsidP="00342E0F">
      <w:pPr>
        <w:spacing w:after="0" w:line="240" w:lineRule="auto"/>
        <w:rPr>
          <w:rFonts w:ascii="Arial" w:hAnsi="Arial" w:cs="Arial"/>
          <w:b/>
          <w:bCs/>
        </w:rPr>
      </w:pPr>
    </w:p>
    <w:p w14:paraId="699FFD00" w14:textId="77777777" w:rsidR="00013CB9" w:rsidRPr="00342E0F" w:rsidRDefault="00775F7A" w:rsidP="00342E0F">
      <w:pPr>
        <w:spacing w:after="0" w:line="240" w:lineRule="auto"/>
        <w:rPr>
          <w:rFonts w:ascii="Arial" w:hAnsi="Arial" w:cs="Arial"/>
        </w:rPr>
      </w:pPr>
      <w:r w:rsidRPr="00342E0F">
        <w:rPr>
          <w:rFonts w:ascii="Arial" w:hAnsi="Arial" w:cs="Arial"/>
          <w:i/>
          <w:iCs/>
        </w:rPr>
        <w:t>Right to Know</w:t>
      </w:r>
      <w:r w:rsidRPr="00342E0F">
        <w:rPr>
          <w:rFonts w:ascii="Arial" w:hAnsi="Arial" w:cs="Arial"/>
        </w:rPr>
        <w:t>: You have the right to request that we disclose certain information to you about our collection and use of certain personal information, including sensitive personal information, about you as described below:</w:t>
      </w:r>
    </w:p>
    <w:p w14:paraId="39B9DAF7"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The specific pieces of personal information collected;</w:t>
      </w:r>
    </w:p>
    <w:p w14:paraId="2A121A23"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The categories of personal information collected;</w:t>
      </w:r>
    </w:p>
    <w:p w14:paraId="1381737B"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The categories of sources from whom the personal information is collected;</w:t>
      </w:r>
    </w:p>
    <w:p w14:paraId="6837E317"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 xml:space="preserve">The purpose for collecting, selling or sharing the personal information; </w:t>
      </w:r>
    </w:p>
    <w:p w14:paraId="430FC60B"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The categories of third parties with whom we have disclosed the personal information;</w:t>
      </w:r>
    </w:p>
    <w:p w14:paraId="4F2D61EC"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The categories of personal information that we have sold or shared, and the categories of third parties to whom the personal information was sold or shared, by category or categories of personal information for each third party to whom the personal information was sold or shared;</w:t>
      </w:r>
    </w:p>
    <w:p w14:paraId="1B1270FB" w14:textId="77777777" w:rsidR="00013CB9" w:rsidRPr="00342E0F" w:rsidRDefault="00775F7A" w:rsidP="00342E0F">
      <w:pPr>
        <w:pStyle w:val="ListParagraph"/>
        <w:numPr>
          <w:ilvl w:val="1"/>
          <w:numId w:val="10"/>
        </w:numPr>
        <w:spacing w:after="0" w:line="240" w:lineRule="auto"/>
        <w:rPr>
          <w:rFonts w:ascii="Arial" w:hAnsi="Arial" w:cs="Arial"/>
        </w:rPr>
      </w:pPr>
      <w:r w:rsidRPr="00342E0F">
        <w:rPr>
          <w:rFonts w:ascii="Arial" w:hAnsi="Arial" w:cs="Arial"/>
        </w:rPr>
        <w:t xml:space="preserve">The categories of personal information that we disclosed for a business purpose and the categories of persons to whom it was disclosed for a business purpose. </w:t>
      </w:r>
    </w:p>
    <w:p w14:paraId="2D850349" w14:textId="77777777" w:rsidR="00013CB9" w:rsidRPr="00342E0F" w:rsidRDefault="00013CB9" w:rsidP="00342E0F">
      <w:pPr>
        <w:spacing w:after="0" w:line="240" w:lineRule="auto"/>
        <w:rPr>
          <w:rFonts w:ascii="Arial" w:hAnsi="Arial" w:cs="Arial"/>
        </w:rPr>
      </w:pPr>
    </w:p>
    <w:p w14:paraId="62DBC08A" w14:textId="77777777" w:rsidR="00013CB9" w:rsidRPr="00342E0F" w:rsidRDefault="00775F7A" w:rsidP="00342E0F">
      <w:pPr>
        <w:spacing w:after="0" w:line="240" w:lineRule="auto"/>
        <w:rPr>
          <w:rFonts w:ascii="Arial" w:hAnsi="Arial" w:cs="Arial"/>
        </w:rPr>
      </w:pPr>
      <w:r w:rsidRPr="00342E0F">
        <w:rPr>
          <w:rFonts w:ascii="Arial" w:hAnsi="Arial" w:cs="Arial"/>
          <w:i/>
          <w:iCs/>
        </w:rPr>
        <w:t>Right to Delete</w:t>
      </w:r>
      <w:r w:rsidRPr="00342E0F">
        <w:rPr>
          <w:rFonts w:ascii="Arial" w:hAnsi="Arial" w:cs="Arial"/>
        </w:rPr>
        <w:t>: You have the right to request that we delete your personal information, subject to certain exceptions.</w:t>
      </w:r>
    </w:p>
    <w:p w14:paraId="237650BE" w14:textId="77777777" w:rsidR="00013CB9" w:rsidRPr="00342E0F" w:rsidRDefault="00013CB9" w:rsidP="00342E0F">
      <w:pPr>
        <w:spacing w:after="0" w:line="240" w:lineRule="auto"/>
        <w:rPr>
          <w:rFonts w:ascii="Arial" w:hAnsi="Arial" w:cs="Arial"/>
        </w:rPr>
      </w:pPr>
    </w:p>
    <w:p w14:paraId="0D043E00" w14:textId="77777777" w:rsidR="00013CB9" w:rsidRPr="00342E0F" w:rsidRDefault="00775F7A" w:rsidP="00342E0F">
      <w:pPr>
        <w:spacing w:after="0" w:line="240" w:lineRule="auto"/>
        <w:rPr>
          <w:rFonts w:ascii="Arial" w:hAnsi="Arial" w:cs="Arial"/>
        </w:rPr>
      </w:pPr>
      <w:r w:rsidRPr="00342E0F">
        <w:rPr>
          <w:rFonts w:ascii="Arial" w:hAnsi="Arial" w:cs="Arial"/>
          <w:i/>
          <w:iCs/>
        </w:rPr>
        <w:t>Right to Correct Inaccurate Personal Information</w:t>
      </w:r>
      <w:r w:rsidRPr="00342E0F">
        <w:rPr>
          <w:rFonts w:ascii="Arial" w:hAnsi="Arial" w:cs="Arial"/>
        </w:rPr>
        <w:t>: You have the right to request that we correct inaccurate personal information we maintain about you, taking into account the nature of the personal information and the purposes of the processing of the personal information.</w:t>
      </w:r>
    </w:p>
    <w:p w14:paraId="76CB4995" w14:textId="77777777" w:rsidR="00013CB9" w:rsidRPr="00342E0F" w:rsidRDefault="00013CB9" w:rsidP="00342E0F">
      <w:pPr>
        <w:spacing w:after="0" w:line="240" w:lineRule="auto"/>
        <w:rPr>
          <w:rFonts w:ascii="Arial" w:hAnsi="Arial" w:cs="Arial"/>
        </w:rPr>
      </w:pPr>
    </w:p>
    <w:p w14:paraId="05FCAE3C" w14:textId="4E47A570" w:rsidR="00013CB9" w:rsidRPr="00342E0F" w:rsidRDefault="00775F7A" w:rsidP="00342E0F">
      <w:pPr>
        <w:spacing w:after="0" w:line="240" w:lineRule="auto"/>
        <w:rPr>
          <w:rFonts w:ascii="Arial" w:hAnsi="Arial" w:cs="Arial"/>
        </w:rPr>
      </w:pPr>
      <w:r w:rsidRPr="00342E0F">
        <w:rPr>
          <w:rFonts w:ascii="Arial" w:hAnsi="Arial" w:cs="Arial"/>
          <w:i/>
          <w:iCs/>
        </w:rPr>
        <w:t>Right to Opt-Out of Sale or Sharing</w:t>
      </w:r>
      <w:r w:rsidRPr="00342E0F">
        <w:rPr>
          <w:rFonts w:ascii="Arial" w:hAnsi="Arial" w:cs="Arial"/>
        </w:rPr>
        <w:t xml:space="preserve">: </w:t>
      </w:r>
      <w:r w:rsidR="00C521AD">
        <w:rPr>
          <w:rFonts w:ascii="Arial" w:hAnsi="Arial" w:cs="Arial"/>
        </w:rPr>
        <w:t>ARKA</w:t>
      </w:r>
      <w:r w:rsidR="00B2351A" w:rsidRPr="00B2351A">
        <w:rPr>
          <w:rFonts w:ascii="Arial" w:hAnsi="Arial" w:cs="Arial"/>
        </w:rPr>
        <w:t xml:space="preserve"> does not sell personal information to third parties for monetary consideration. However, certain sharing of information with our third-party analytics and digital advertising vendors may qualify as a “sale” and is considered “sharing” under the CPRA. This data collection is not directly related to your relationship to </w:t>
      </w:r>
      <w:r w:rsidR="00C521AD">
        <w:rPr>
          <w:rFonts w:ascii="Arial" w:hAnsi="Arial" w:cs="Arial"/>
        </w:rPr>
        <w:t>ARKA</w:t>
      </w:r>
      <w:r w:rsidR="00B2351A" w:rsidRPr="00B2351A">
        <w:rPr>
          <w:rFonts w:ascii="Arial" w:hAnsi="Arial" w:cs="Arial"/>
        </w:rPr>
        <w:t xml:space="preserve"> as an applicant but may be collected from any user of our website generally. To opt-out of certain sharing of information with our third-party analytics and digital advertising service providers, </w:t>
      </w:r>
      <w:r w:rsidR="00B2351A">
        <w:rPr>
          <w:rFonts w:ascii="Arial" w:hAnsi="Arial" w:cs="Arial"/>
        </w:rPr>
        <w:t>please visit the</w:t>
      </w:r>
      <w:r w:rsidR="00B2351A" w:rsidRPr="00B2351A">
        <w:rPr>
          <w:rFonts w:ascii="Arial" w:hAnsi="Arial" w:cs="Arial"/>
        </w:rPr>
        <w:t xml:space="preserve"> </w:t>
      </w:r>
      <w:hyperlink r:id="rId8" w:history="1">
        <w:r w:rsidR="00B2351A" w:rsidRPr="00487D5A">
          <w:rPr>
            <w:rStyle w:val="Hyperlink"/>
            <w:rFonts w:ascii="Arial" w:hAnsi="Arial" w:cs="Arial"/>
          </w:rPr>
          <w:t>Do Not Sell or Share My Personal Information</w:t>
        </w:r>
      </w:hyperlink>
      <w:r w:rsidR="00B2351A" w:rsidRPr="00B2351A">
        <w:rPr>
          <w:rFonts w:ascii="Arial" w:hAnsi="Arial" w:cs="Arial"/>
        </w:rPr>
        <w:t xml:space="preserve"> link at the bottom of </w:t>
      </w:r>
      <w:r w:rsidR="00B2351A">
        <w:rPr>
          <w:rFonts w:ascii="Arial" w:hAnsi="Arial" w:cs="Arial"/>
        </w:rPr>
        <w:t>our website</w:t>
      </w:r>
      <w:r w:rsidR="00B2351A" w:rsidRPr="00B2351A">
        <w:rPr>
          <w:rFonts w:ascii="Arial" w:hAnsi="Arial" w:cs="Arial"/>
        </w:rPr>
        <w:t>.</w:t>
      </w:r>
    </w:p>
    <w:p w14:paraId="37513940" w14:textId="77777777" w:rsidR="00B2351A" w:rsidRDefault="00B2351A" w:rsidP="00342E0F">
      <w:pPr>
        <w:spacing w:after="0" w:line="240" w:lineRule="auto"/>
        <w:rPr>
          <w:rFonts w:ascii="Arial" w:hAnsi="Arial" w:cs="Arial"/>
          <w:i/>
          <w:iCs/>
        </w:rPr>
      </w:pPr>
    </w:p>
    <w:p w14:paraId="49B4E686" w14:textId="4A443FD2" w:rsidR="00013CB9" w:rsidRPr="00342E0F" w:rsidRDefault="00775F7A" w:rsidP="00342E0F">
      <w:pPr>
        <w:spacing w:after="0" w:line="240" w:lineRule="auto"/>
        <w:rPr>
          <w:rFonts w:ascii="Arial" w:hAnsi="Arial" w:cs="Arial"/>
        </w:rPr>
      </w:pPr>
      <w:r w:rsidRPr="00342E0F">
        <w:rPr>
          <w:rFonts w:ascii="Arial" w:hAnsi="Arial" w:cs="Arial"/>
          <w:i/>
          <w:iCs/>
        </w:rPr>
        <w:t>Right to Limit the Use and Disclosure of Sensitive Personal Information for Certain Purposes</w:t>
      </w:r>
      <w:r w:rsidRPr="00342E0F">
        <w:rPr>
          <w:rFonts w:ascii="Arial" w:hAnsi="Arial" w:cs="Arial"/>
        </w:rPr>
        <w:t>: As stated above, we do not use or disclose your sensitive personal information for any purpose other than those permitted under the CPRA.</w:t>
      </w:r>
    </w:p>
    <w:p w14:paraId="3BFC7B65" w14:textId="77777777" w:rsidR="00013CB9" w:rsidRPr="00342E0F" w:rsidRDefault="00013CB9" w:rsidP="00342E0F">
      <w:pPr>
        <w:spacing w:after="0" w:line="240" w:lineRule="auto"/>
        <w:rPr>
          <w:rFonts w:ascii="Arial" w:hAnsi="Arial" w:cs="Arial"/>
        </w:rPr>
      </w:pPr>
    </w:p>
    <w:p w14:paraId="6016ADED" w14:textId="77777777" w:rsidR="00013CB9" w:rsidRPr="00342E0F" w:rsidRDefault="00775F7A" w:rsidP="00342E0F">
      <w:pPr>
        <w:spacing w:after="0" w:line="240" w:lineRule="auto"/>
        <w:rPr>
          <w:rFonts w:ascii="Arial" w:hAnsi="Arial" w:cs="Arial"/>
        </w:rPr>
      </w:pPr>
      <w:r w:rsidRPr="00342E0F">
        <w:rPr>
          <w:rFonts w:ascii="Arial" w:hAnsi="Arial" w:cs="Arial"/>
          <w:i/>
          <w:iCs/>
        </w:rPr>
        <w:t>Freedom from Discrimination</w:t>
      </w:r>
      <w:r w:rsidRPr="00342E0F">
        <w:rPr>
          <w:rFonts w:ascii="Arial" w:hAnsi="Arial" w:cs="Arial"/>
        </w:rPr>
        <w:t>: You have the right not to receive discriminatory treatment for exercising your rights above, including not to be retaliated against for exercising such rights.</w:t>
      </w:r>
    </w:p>
    <w:p w14:paraId="611B4DF0" w14:textId="77777777" w:rsidR="00013CB9" w:rsidRPr="00342E0F" w:rsidRDefault="00013CB9" w:rsidP="00342E0F">
      <w:pPr>
        <w:spacing w:after="0" w:line="240" w:lineRule="auto"/>
        <w:rPr>
          <w:rFonts w:ascii="Arial" w:hAnsi="Arial" w:cs="Arial"/>
        </w:rPr>
      </w:pPr>
    </w:p>
    <w:p w14:paraId="6F89DF27" w14:textId="40D6AEC9" w:rsidR="00013CB9" w:rsidRPr="00342E0F" w:rsidRDefault="00775F7A" w:rsidP="00342E0F">
      <w:pPr>
        <w:spacing w:after="0" w:line="240" w:lineRule="auto"/>
        <w:rPr>
          <w:rFonts w:ascii="Arial" w:hAnsi="Arial" w:cs="Arial"/>
        </w:rPr>
      </w:pPr>
      <w:r w:rsidRPr="00342E0F">
        <w:rPr>
          <w:rFonts w:ascii="Arial" w:hAnsi="Arial" w:cs="Arial"/>
        </w:rPr>
        <w:t xml:space="preserve">To exercise the rights above, you must submit a verifiable request to us by </w:t>
      </w:r>
      <w:r w:rsidR="00035B77">
        <w:rPr>
          <w:rFonts w:ascii="Arial" w:hAnsi="Arial" w:cs="Arial"/>
        </w:rPr>
        <w:t>writing to ARKA Group, L.P. 100 Wooster Heights Road, Danbury, CT 06810</w:t>
      </w:r>
      <w:r w:rsidR="00B2351A" w:rsidRPr="00B2351A">
        <w:rPr>
          <w:rFonts w:ascii="Arial" w:hAnsi="Arial" w:cs="Arial"/>
          <w:lang w:val="en-CA"/>
        </w:rPr>
        <w:t xml:space="preserve"> or by </w:t>
      </w:r>
      <w:r w:rsidR="00035B77">
        <w:rPr>
          <w:rFonts w:ascii="Arial" w:hAnsi="Arial" w:cs="Arial"/>
          <w:lang w:val="en-CA"/>
        </w:rPr>
        <w:t>submitting a “</w:t>
      </w:r>
      <w:r w:rsidR="00595C51">
        <w:rPr>
          <w:rFonts w:ascii="Arial" w:hAnsi="Arial" w:cs="Arial"/>
          <w:lang w:val="en-CA"/>
        </w:rPr>
        <w:t>Contact Us</w:t>
      </w:r>
      <w:r w:rsidR="00035B77">
        <w:rPr>
          <w:rFonts w:ascii="Arial" w:hAnsi="Arial" w:cs="Arial"/>
          <w:lang w:val="en-CA"/>
        </w:rPr>
        <w:t>” form on arka.org/contact-us.</w:t>
      </w:r>
      <w:r w:rsidR="00B2351A" w:rsidRPr="00B2351A">
        <w:rPr>
          <w:rFonts w:ascii="Arial" w:hAnsi="Arial" w:cs="Arial"/>
          <w:lang w:val="en-CA"/>
        </w:rPr>
        <w:t xml:space="preserve"> </w:t>
      </w:r>
      <w:r w:rsidRPr="00342E0F">
        <w:rPr>
          <w:rFonts w:ascii="Arial" w:hAnsi="Arial" w:cs="Arial"/>
        </w:rPr>
        <w:t xml:space="preserve">To submit a verifiable request, you will be asked to provide certain information to help us verify your identity. The information we ask you to provide to initiate a request may differ depending upon the type of request, the type, sensitivity and value of the personal data that is the subject of the request, and the risk of harm to you that may occur as a result of unauthorized access or deletion, among other factors. </w:t>
      </w:r>
    </w:p>
    <w:p w14:paraId="1742DBBF" w14:textId="77777777" w:rsidR="00013CB9" w:rsidRPr="00342E0F" w:rsidRDefault="00013CB9" w:rsidP="00342E0F">
      <w:pPr>
        <w:spacing w:after="0" w:line="240" w:lineRule="auto"/>
        <w:rPr>
          <w:rFonts w:ascii="Arial" w:hAnsi="Arial" w:cs="Arial"/>
        </w:rPr>
      </w:pPr>
    </w:p>
    <w:p w14:paraId="7AF4FC89" w14:textId="77777777" w:rsidR="00013CB9" w:rsidRPr="00342E0F" w:rsidRDefault="00775F7A" w:rsidP="00342E0F">
      <w:pPr>
        <w:spacing w:after="0" w:line="240" w:lineRule="auto"/>
        <w:rPr>
          <w:rFonts w:ascii="Arial" w:hAnsi="Arial" w:cs="Arial"/>
        </w:rPr>
      </w:pPr>
      <w:r w:rsidRPr="00342E0F">
        <w:rPr>
          <w:rFonts w:ascii="Arial" w:hAnsi="Arial" w:cs="Arial"/>
        </w:rPr>
        <w:lastRenderedPageBreak/>
        <w:t>You may designate an authorized agent to make a request on your behalf by providing the agent with signed written permission to do so.</w:t>
      </w:r>
    </w:p>
    <w:p w14:paraId="2388FEEB" w14:textId="77777777" w:rsidR="00013CB9" w:rsidRPr="00342E0F" w:rsidRDefault="00013CB9" w:rsidP="00342E0F">
      <w:pPr>
        <w:spacing w:after="0" w:line="240" w:lineRule="auto"/>
        <w:rPr>
          <w:rFonts w:ascii="Arial" w:hAnsi="Arial" w:cs="Arial"/>
        </w:rPr>
      </w:pPr>
    </w:p>
    <w:p w14:paraId="59A84D9E" w14:textId="77777777" w:rsidR="00013CB9" w:rsidRPr="00342E0F" w:rsidRDefault="00775F7A" w:rsidP="00342E0F">
      <w:pPr>
        <w:spacing w:after="0" w:line="240" w:lineRule="auto"/>
        <w:rPr>
          <w:rFonts w:ascii="Arial" w:hAnsi="Arial" w:cs="Arial"/>
          <w:b/>
          <w:bCs/>
        </w:rPr>
      </w:pPr>
      <w:r w:rsidRPr="00342E0F">
        <w:rPr>
          <w:rFonts w:ascii="Arial" w:hAnsi="Arial" w:cs="Arial"/>
          <w:b/>
          <w:bCs/>
        </w:rPr>
        <w:t>Contact</w:t>
      </w:r>
    </w:p>
    <w:p w14:paraId="28B694D8" w14:textId="77777777" w:rsidR="00013CB9" w:rsidRPr="00342E0F" w:rsidRDefault="00013CB9" w:rsidP="00342E0F">
      <w:pPr>
        <w:spacing w:after="0" w:line="240" w:lineRule="auto"/>
        <w:rPr>
          <w:rFonts w:ascii="Arial" w:hAnsi="Arial" w:cs="Arial"/>
        </w:rPr>
      </w:pPr>
    </w:p>
    <w:p w14:paraId="5DF305B3" w14:textId="6637D261" w:rsidR="00013CB9" w:rsidRPr="00342E0F" w:rsidRDefault="00775F7A" w:rsidP="00342E0F">
      <w:pPr>
        <w:spacing w:after="0" w:line="240" w:lineRule="auto"/>
        <w:rPr>
          <w:rFonts w:ascii="Arial" w:hAnsi="Arial" w:cs="Arial"/>
        </w:rPr>
      </w:pPr>
      <w:r w:rsidRPr="00342E0F">
        <w:rPr>
          <w:rFonts w:ascii="Arial" w:hAnsi="Arial" w:cs="Arial"/>
        </w:rPr>
        <w:t>If you have any questions regarding the information contained in this notice, please contact</w:t>
      </w:r>
      <w:r w:rsidR="00746ED4">
        <w:rPr>
          <w:rFonts w:ascii="Arial" w:hAnsi="Arial" w:cs="Arial"/>
        </w:rPr>
        <w:t xml:space="preserve"> us at</w:t>
      </w:r>
      <w:r w:rsidR="00035B77">
        <w:rPr>
          <w:rFonts w:ascii="Arial" w:hAnsi="Arial" w:cs="Arial"/>
        </w:rPr>
        <w:t xml:space="preserve"> “</w:t>
      </w:r>
      <w:r w:rsidR="00595C51">
        <w:rPr>
          <w:rFonts w:ascii="Arial" w:hAnsi="Arial" w:cs="Arial"/>
        </w:rPr>
        <w:t>Contact Us</w:t>
      </w:r>
      <w:r w:rsidR="00035B77">
        <w:rPr>
          <w:rFonts w:ascii="Arial" w:hAnsi="Arial" w:cs="Arial"/>
        </w:rPr>
        <w:t>” available at arka.org/contact-us.</w:t>
      </w:r>
    </w:p>
    <w:p w14:paraId="57775E86" w14:textId="77777777" w:rsidR="00746ED4" w:rsidRDefault="00746ED4" w:rsidP="00342E0F">
      <w:pPr>
        <w:spacing w:after="0" w:line="240" w:lineRule="auto"/>
        <w:rPr>
          <w:rFonts w:ascii="Arial" w:hAnsi="Arial" w:cs="Arial"/>
          <w:b/>
          <w:bCs/>
        </w:rPr>
      </w:pPr>
    </w:p>
    <w:p w14:paraId="4F2E8C8D" w14:textId="1D0B598E" w:rsidR="00013CB9" w:rsidRPr="00342E0F" w:rsidRDefault="00775F7A" w:rsidP="00342E0F">
      <w:pPr>
        <w:spacing w:after="0" w:line="240" w:lineRule="auto"/>
        <w:rPr>
          <w:rFonts w:ascii="Arial" w:hAnsi="Arial" w:cs="Arial"/>
          <w:b/>
          <w:bCs/>
        </w:rPr>
      </w:pPr>
      <w:r w:rsidRPr="00342E0F">
        <w:rPr>
          <w:rFonts w:ascii="Arial" w:hAnsi="Arial" w:cs="Arial"/>
          <w:b/>
          <w:bCs/>
        </w:rPr>
        <w:t>Changes to Our Notice</w:t>
      </w:r>
    </w:p>
    <w:p w14:paraId="47D2E5F9" w14:textId="77777777" w:rsidR="00013CB9" w:rsidRPr="00342E0F" w:rsidRDefault="00013CB9" w:rsidP="00342E0F">
      <w:pPr>
        <w:spacing w:after="0" w:line="240" w:lineRule="auto"/>
        <w:rPr>
          <w:rFonts w:ascii="Arial" w:hAnsi="Arial" w:cs="Arial"/>
        </w:rPr>
      </w:pPr>
    </w:p>
    <w:p w14:paraId="00CD58C1" w14:textId="77777777" w:rsidR="00013CB9" w:rsidRPr="00342E0F" w:rsidRDefault="00775F7A" w:rsidP="00342E0F">
      <w:pPr>
        <w:spacing w:after="0" w:line="240" w:lineRule="auto"/>
        <w:rPr>
          <w:rFonts w:ascii="Arial" w:hAnsi="Arial" w:cs="Arial"/>
        </w:rPr>
      </w:pPr>
      <w:r w:rsidRPr="00342E0F">
        <w:rPr>
          <w:rFonts w:ascii="Arial" w:hAnsi="Arial" w:cs="Arial"/>
        </w:rPr>
        <w:t>Any changes to this notice will be posted to this page so users are always aware of the information we collect and how we use it. Accordingly, please refer back to this page frequently as it may change.</w:t>
      </w:r>
    </w:p>
    <w:p w14:paraId="417ADFD2" w14:textId="77777777" w:rsidR="00B01777" w:rsidRPr="00342E0F" w:rsidRDefault="00B01777" w:rsidP="00342E0F">
      <w:pPr>
        <w:spacing w:after="0" w:line="240" w:lineRule="auto"/>
        <w:rPr>
          <w:rFonts w:ascii="Arial" w:hAnsi="Arial" w:cs="Arial"/>
        </w:rPr>
      </w:pPr>
    </w:p>
    <w:sectPr w:rsidR="00B01777" w:rsidRPr="00342E0F" w:rsidSect="00013C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F541" w14:textId="77777777" w:rsidR="00A2097F" w:rsidRDefault="00A2097F">
      <w:pPr>
        <w:spacing w:after="0" w:line="240" w:lineRule="auto"/>
      </w:pPr>
      <w:r>
        <w:separator/>
      </w:r>
    </w:p>
  </w:endnote>
  <w:endnote w:type="continuationSeparator" w:id="0">
    <w:p w14:paraId="2D1EBEC1" w14:textId="77777777" w:rsidR="00A2097F" w:rsidRDefault="00A2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AFD5" w14:textId="77777777" w:rsidR="000D1181" w:rsidRDefault="00775F7A" w:rsidP="00A85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1067CD" w14:textId="77777777" w:rsidR="000D1181" w:rsidRDefault="00775F7A" w:rsidP="007840C9">
    <w:pPr>
      <w:pStyle w:val="FooterDocID"/>
    </w:pPr>
    <w:r>
      <w:t>#55906743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321A" w14:textId="77777777" w:rsidR="000D1181" w:rsidRDefault="00775F7A" w:rsidP="004A19D3">
    <w:pPr>
      <w:pStyle w:val="Footer"/>
    </w:pPr>
    <w:r>
      <w:t>-</w:t>
    </w:r>
    <w:r>
      <w:fldChar w:fldCharType="begin"/>
    </w:r>
    <w:r>
      <w:instrText xml:space="preserve"> PAGE </w:instrText>
    </w:r>
    <w:r>
      <w:fldChar w:fldCharType="separate"/>
    </w:r>
    <w:r>
      <w:t>5</w:t>
    </w:r>
    <w:r>
      <w:fldChar w:fldCharType="end"/>
    </w:r>
    <w:r>
      <w:t>-</w:t>
    </w:r>
  </w:p>
  <w:p w14:paraId="6B93DEF1" w14:textId="77777777" w:rsidR="000D1181" w:rsidRDefault="000D1181" w:rsidP="00C91A0A">
    <w:pPr>
      <w:pStyle w:val="FooterDocID"/>
    </w:pPr>
  </w:p>
  <w:p w14:paraId="22DCB90A" w14:textId="0D3A4658" w:rsidR="000D1181" w:rsidRPr="00C91A0A" w:rsidRDefault="00775F7A" w:rsidP="00CC21B0">
    <w:pPr>
      <w:pStyle w:val="FooterDocID"/>
    </w:pPr>
    <w:r>
      <w:fldChar w:fldCharType="begin"/>
    </w:r>
    <w:r>
      <w:instrText xml:space="preserve"> </w:instrText>
    </w:r>
    <w:r w:rsidRPr="00CC21B0">
      <w:instrText>IF "</w:instrText>
    </w:r>
    <w:r>
      <w:fldChar w:fldCharType="begin"/>
    </w:r>
    <w:r>
      <w:instrText xml:space="preserve"> DOCVARIABLE "SWDocIDLocation" </w:instrText>
    </w:r>
    <w:r>
      <w:fldChar w:fldCharType="separate"/>
    </w:r>
    <w:r w:rsidR="000149EE">
      <w:instrText>1</w:instrText>
    </w:r>
    <w:r>
      <w:fldChar w:fldCharType="end"/>
    </w:r>
    <w:r w:rsidRPr="00CC21B0">
      <w:instrText>" = "1" "</w:instrText>
    </w:r>
    <w:r>
      <w:fldChar w:fldCharType="begin"/>
    </w:r>
    <w:r>
      <w:instrText xml:space="preserve"> DOCPROPERTY "SWDocID" </w:instrText>
    </w:r>
    <w:r>
      <w:fldChar w:fldCharType="separate"/>
    </w:r>
    <w:r w:rsidR="000149EE">
      <w:instrText>164905.00103/135924270v.1</w:instrText>
    </w:r>
    <w:r>
      <w:fldChar w:fldCharType="end"/>
    </w:r>
    <w:r w:rsidRPr="00CC21B0">
      <w:instrText>" ""</w:instrText>
    </w:r>
    <w:r>
      <w:instrText xml:space="preserve"> </w:instrText>
    </w:r>
    <w:r>
      <w:fldChar w:fldCharType="separate"/>
    </w:r>
    <w:r w:rsidR="000149EE">
      <w:rPr>
        <w:noProof/>
      </w:rPr>
      <w:t>164905.00103/135924270v.1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7880" w14:textId="77777777" w:rsidR="000D1181" w:rsidRDefault="000D1181">
    <w:pPr>
      <w:pStyle w:val="Footer"/>
    </w:pPr>
  </w:p>
  <w:p w14:paraId="608D8B0F" w14:textId="77777777" w:rsidR="000D1181" w:rsidRDefault="000D1181" w:rsidP="00C91A0A">
    <w:pPr>
      <w:pStyle w:val="FooterDocID"/>
    </w:pPr>
  </w:p>
  <w:p w14:paraId="311CA002" w14:textId="5DEC31BA" w:rsidR="000D1181" w:rsidRPr="00C91A0A" w:rsidRDefault="00775F7A" w:rsidP="00CC21B0">
    <w:pPr>
      <w:pStyle w:val="FooterDocID"/>
    </w:pPr>
    <w:r>
      <w:fldChar w:fldCharType="begin"/>
    </w:r>
    <w:r>
      <w:instrText xml:space="preserve"> </w:instrText>
    </w:r>
    <w:r w:rsidRPr="00CC21B0">
      <w:instrText>IF "</w:instrText>
    </w:r>
    <w:r>
      <w:fldChar w:fldCharType="begin"/>
    </w:r>
    <w:r>
      <w:instrText xml:space="preserve"> DOCVARIABLE "SWDocIDLocation" </w:instrText>
    </w:r>
    <w:r>
      <w:fldChar w:fldCharType="separate"/>
    </w:r>
    <w:r w:rsidR="000149EE">
      <w:instrText>1</w:instrText>
    </w:r>
    <w:r>
      <w:fldChar w:fldCharType="end"/>
    </w:r>
    <w:r w:rsidRPr="00CC21B0">
      <w:instrText>" = "1" "</w:instrText>
    </w:r>
    <w:r>
      <w:fldChar w:fldCharType="begin"/>
    </w:r>
    <w:r>
      <w:instrText xml:space="preserve"> DOCPROPERTY "SWDocID" </w:instrText>
    </w:r>
    <w:r>
      <w:fldChar w:fldCharType="separate"/>
    </w:r>
    <w:r w:rsidR="000149EE">
      <w:instrText>164905.00103/135924270v.1</w:instrText>
    </w:r>
    <w:r>
      <w:fldChar w:fldCharType="end"/>
    </w:r>
    <w:r w:rsidRPr="00CC21B0">
      <w:instrText>" ""</w:instrText>
    </w:r>
    <w:r>
      <w:instrText xml:space="preserve"> </w:instrText>
    </w:r>
    <w:r>
      <w:fldChar w:fldCharType="separate"/>
    </w:r>
    <w:r w:rsidR="000149EE">
      <w:rPr>
        <w:noProof/>
      </w:rPr>
      <w:t>164905.00103/135924270v.1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C7A9" w14:textId="77777777" w:rsidR="00A2097F" w:rsidRDefault="00A2097F">
      <w:pPr>
        <w:spacing w:after="0" w:line="240" w:lineRule="auto"/>
      </w:pPr>
      <w:r>
        <w:separator/>
      </w:r>
    </w:p>
  </w:footnote>
  <w:footnote w:type="continuationSeparator" w:id="0">
    <w:p w14:paraId="5DDC3815" w14:textId="77777777" w:rsidR="00A2097F" w:rsidRDefault="00A20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5E3" w14:textId="77777777" w:rsidR="00775F7A" w:rsidRDefault="00775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2C86" w14:textId="77777777" w:rsidR="000D1181" w:rsidRDefault="000D1181" w:rsidP="00F16B0B">
    <w:pPr>
      <w:pStyle w:val="Header"/>
      <w:spacing w:after="0" w:line="240" w:lineRule="auto"/>
    </w:pPr>
  </w:p>
  <w:p w14:paraId="5243F874" w14:textId="77777777" w:rsidR="000D1181" w:rsidRPr="00F16B0B" w:rsidRDefault="000D1181" w:rsidP="00F16B0B">
    <w:pPr>
      <w:pStyle w:val="Header"/>
      <w:spacing w:after="0" w:line="240"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960B" w14:textId="77777777" w:rsidR="000D1181" w:rsidRPr="00F16B0B" w:rsidRDefault="000D1181" w:rsidP="00613BD2">
    <w:pPr>
      <w:pStyle w:val="Header"/>
      <w:spacing w:after="0" w:line="240" w:lineRule="auto"/>
      <w:jc w:val="both"/>
      <w:rPr>
        <w:rFonts w:ascii="Times New Roman" w:hAnsi="Times New Roman" w:cs="Times New Roman"/>
        <w:b/>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691C"/>
    <w:multiLevelType w:val="hybridMultilevel"/>
    <w:tmpl w:val="3886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7D7"/>
    <w:multiLevelType w:val="multilevel"/>
    <w:tmpl w:val="87AE88E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D752E60"/>
    <w:multiLevelType w:val="hybridMultilevel"/>
    <w:tmpl w:val="86D40E84"/>
    <w:lvl w:ilvl="0" w:tplc="25825AE0">
      <w:start w:val="1"/>
      <w:numFmt w:val="bullet"/>
      <w:lvlText w:val=""/>
      <w:lvlJc w:val="left"/>
      <w:pPr>
        <w:ind w:left="720" w:hanging="360"/>
      </w:pPr>
      <w:rPr>
        <w:rFonts w:ascii="Symbol" w:hAnsi="Symbol" w:hint="default"/>
      </w:rPr>
    </w:lvl>
    <w:lvl w:ilvl="1" w:tplc="AB7C5BF8" w:tentative="1">
      <w:start w:val="1"/>
      <w:numFmt w:val="bullet"/>
      <w:lvlText w:val="o"/>
      <w:lvlJc w:val="left"/>
      <w:pPr>
        <w:ind w:left="1440" w:hanging="360"/>
      </w:pPr>
      <w:rPr>
        <w:rFonts w:ascii="Courier New" w:hAnsi="Courier New" w:cs="Courier New" w:hint="default"/>
      </w:rPr>
    </w:lvl>
    <w:lvl w:ilvl="2" w:tplc="D5526A30" w:tentative="1">
      <w:start w:val="1"/>
      <w:numFmt w:val="bullet"/>
      <w:lvlText w:val=""/>
      <w:lvlJc w:val="left"/>
      <w:pPr>
        <w:ind w:left="2160" w:hanging="360"/>
      </w:pPr>
      <w:rPr>
        <w:rFonts w:ascii="Wingdings" w:hAnsi="Wingdings" w:hint="default"/>
      </w:rPr>
    </w:lvl>
    <w:lvl w:ilvl="3" w:tplc="0B2E3D70" w:tentative="1">
      <w:start w:val="1"/>
      <w:numFmt w:val="bullet"/>
      <w:lvlText w:val=""/>
      <w:lvlJc w:val="left"/>
      <w:pPr>
        <w:ind w:left="2880" w:hanging="360"/>
      </w:pPr>
      <w:rPr>
        <w:rFonts w:ascii="Symbol" w:hAnsi="Symbol" w:hint="default"/>
      </w:rPr>
    </w:lvl>
    <w:lvl w:ilvl="4" w:tplc="52063C84" w:tentative="1">
      <w:start w:val="1"/>
      <w:numFmt w:val="bullet"/>
      <w:lvlText w:val="o"/>
      <w:lvlJc w:val="left"/>
      <w:pPr>
        <w:ind w:left="3600" w:hanging="360"/>
      </w:pPr>
      <w:rPr>
        <w:rFonts w:ascii="Courier New" w:hAnsi="Courier New" w:cs="Courier New" w:hint="default"/>
      </w:rPr>
    </w:lvl>
    <w:lvl w:ilvl="5" w:tplc="F590592A" w:tentative="1">
      <w:start w:val="1"/>
      <w:numFmt w:val="bullet"/>
      <w:lvlText w:val=""/>
      <w:lvlJc w:val="left"/>
      <w:pPr>
        <w:ind w:left="4320" w:hanging="360"/>
      </w:pPr>
      <w:rPr>
        <w:rFonts w:ascii="Wingdings" w:hAnsi="Wingdings" w:hint="default"/>
      </w:rPr>
    </w:lvl>
    <w:lvl w:ilvl="6" w:tplc="0E74CC54" w:tentative="1">
      <w:start w:val="1"/>
      <w:numFmt w:val="bullet"/>
      <w:lvlText w:val=""/>
      <w:lvlJc w:val="left"/>
      <w:pPr>
        <w:ind w:left="5040" w:hanging="360"/>
      </w:pPr>
      <w:rPr>
        <w:rFonts w:ascii="Symbol" w:hAnsi="Symbol" w:hint="default"/>
      </w:rPr>
    </w:lvl>
    <w:lvl w:ilvl="7" w:tplc="4B8CCC5A" w:tentative="1">
      <w:start w:val="1"/>
      <w:numFmt w:val="bullet"/>
      <w:lvlText w:val="o"/>
      <w:lvlJc w:val="left"/>
      <w:pPr>
        <w:ind w:left="5760" w:hanging="360"/>
      </w:pPr>
      <w:rPr>
        <w:rFonts w:ascii="Courier New" w:hAnsi="Courier New" w:cs="Courier New" w:hint="default"/>
      </w:rPr>
    </w:lvl>
    <w:lvl w:ilvl="8" w:tplc="1BF4C630" w:tentative="1">
      <w:start w:val="1"/>
      <w:numFmt w:val="bullet"/>
      <w:lvlText w:val=""/>
      <w:lvlJc w:val="left"/>
      <w:pPr>
        <w:ind w:left="6480" w:hanging="360"/>
      </w:pPr>
      <w:rPr>
        <w:rFonts w:ascii="Wingdings" w:hAnsi="Wingdings" w:hint="default"/>
      </w:rPr>
    </w:lvl>
  </w:abstractNum>
  <w:abstractNum w:abstractNumId="3" w15:restartNumberingAfterBreak="0">
    <w:nsid w:val="339341C4"/>
    <w:multiLevelType w:val="hybridMultilevel"/>
    <w:tmpl w:val="A1AA60D4"/>
    <w:lvl w:ilvl="0" w:tplc="D2CA109C">
      <w:start w:val="1"/>
      <w:numFmt w:val="bullet"/>
      <w:lvlText w:val=""/>
      <w:lvlJc w:val="left"/>
      <w:pPr>
        <w:ind w:left="720" w:hanging="360"/>
      </w:pPr>
      <w:rPr>
        <w:rFonts w:ascii="Symbol" w:hAnsi="Symbol" w:hint="default"/>
      </w:rPr>
    </w:lvl>
    <w:lvl w:ilvl="1" w:tplc="970AF8C2">
      <w:start w:val="1"/>
      <w:numFmt w:val="bullet"/>
      <w:lvlText w:val="o"/>
      <w:lvlJc w:val="left"/>
      <w:pPr>
        <w:ind w:left="1440" w:hanging="360"/>
      </w:pPr>
      <w:rPr>
        <w:rFonts w:ascii="Courier New" w:hAnsi="Courier New" w:cs="Courier New" w:hint="default"/>
      </w:rPr>
    </w:lvl>
    <w:lvl w:ilvl="2" w:tplc="E2E2B896" w:tentative="1">
      <w:start w:val="1"/>
      <w:numFmt w:val="bullet"/>
      <w:lvlText w:val=""/>
      <w:lvlJc w:val="left"/>
      <w:pPr>
        <w:ind w:left="2160" w:hanging="360"/>
      </w:pPr>
      <w:rPr>
        <w:rFonts w:ascii="Wingdings" w:hAnsi="Wingdings" w:hint="default"/>
      </w:rPr>
    </w:lvl>
    <w:lvl w:ilvl="3" w:tplc="D53A882A" w:tentative="1">
      <w:start w:val="1"/>
      <w:numFmt w:val="bullet"/>
      <w:lvlText w:val=""/>
      <w:lvlJc w:val="left"/>
      <w:pPr>
        <w:ind w:left="2880" w:hanging="360"/>
      </w:pPr>
      <w:rPr>
        <w:rFonts w:ascii="Symbol" w:hAnsi="Symbol" w:hint="default"/>
      </w:rPr>
    </w:lvl>
    <w:lvl w:ilvl="4" w:tplc="2D4412DC" w:tentative="1">
      <w:start w:val="1"/>
      <w:numFmt w:val="bullet"/>
      <w:lvlText w:val="o"/>
      <w:lvlJc w:val="left"/>
      <w:pPr>
        <w:ind w:left="3600" w:hanging="360"/>
      </w:pPr>
      <w:rPr>
        <w:rFonts w:ascii="Courier New" w:hAnsi="Courier New" w:cs="Courier New" w:hint="default"/>
      </w:rPr>
    </w:lvl>
    <w:lvl w:ilvl="5" w:tplc="C3008E56" w:tentative="1">
      <w:start w:val="1"/>
      <w:numFmt w:val="bullet"/>
      <w:lvlText w:val=""/>
      <w:lvlJc w:val="left"/>
      <w:pPr>
        <w:ind w:left="4320" w:hanging="360"/>
      </w:pPr>
      <w:rPr>
        <w:rFonts w:ascii="Wingdings" w:hAnsi="Wingdings" w:hint="default"/>
      </w:rPr>
    </w:lvl>
    <w:lvl w:ilvl="6" w:tplc="0A0A6D72" w:tentative="1">
      <w:start w:val="1"/>
      <w:numFmt w:val="bullet"/>
      <w:lvlText w:val=""/>
      <w:lvlJc w:val="left"/>
      <w:pPr>
        <w:ind w:left="5040" w:hanging="360"/>
      </w:pPr>
      <w:rPr>
        <w:rFonts w:ascii="Symbol" w:hAnsi="Symbol" w:hint="default"/>
      </w:rPr>
    </w:lvl>
    <w:lvl w:ilvl="7" w:tplc="47D89638" w:tentative="1">
      <w:start w:val="1"/>
      <w:numFmt w:val="bullet"/>
      <w:lvlText w:val="o"/>
      <w:lvlJc w:val="left"/>
      <w:pPr>
        <w:ind w:left="5760" w:hanging="360"/>
      </w:pPr>
      <w:rPr>
        <w:rFonts w:ascii="Courier New" w:hAnsi="Courier New" w:cs="Courier New" w:hint="default"/>
      </w:rPr>
    </w:lvl>
    <w:lvl w:ilvl="8" w:tplc="6B38C91C" w:tentative="1">
      <w:start w:val="1"/>
      <w:numFmt w:val="bullet"/>
      <w:lvlText w:val=""/>
      <w:lvlJc w:val="left"/>
      <w:pPr>
        <w:ind w:left="6480" w:hanging="360"/>
      </w:pPr>
      <w:rPr>
        <w:rFonts w:ascii="Wingdings" w:hAnsi="Wingdings" w:hint="default"/>
      </w:rPr>
    </w:lvl>
  </w:abstractNum>
  <w:abstractNum w:abstractNumId="4" w15:restartNumberingAfterBreak="0">
    <w:nsid w:val="3A0A4F9D"/>
    <w:multiLevelType w:val="multilevel"/>
    <w:tmpl w:val="3B5EFD3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6B20771F"/>
    <w:multiLevelType w:val="multilevel"/>
    <w:tmpl w:val="69BE2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1189757">
    <w:abstractNumId w:val="4"/>
  </w:num>
  <w:num w:numId="2" w16cid:durableId="1736661994">
    <w:abstractNumId w:val="4"/>
  </w:num>
  <w:num w:numId="3" w16cid:durableId="1787194366">
    <w:abstractNumId w:val="4"/>
  </w:num>
  <w:num w:numId="4" w16cid:durableId="1290362540">
    <w:abstractNumId w:val="1"/>
  </w:num>
  <w:num w:numId="5" w16cid:durableId="691615752">
    <w:abstractNumId w:val="1"/>
  </w:num>
  <w:num w:numId="6" w16cid:durableId="40176580">
    <w:abstractNumId w:val="1"/>
  </w:num>
  <w:num w:numId="7" w16cid:durableId="1242104417">
    <w:abstractNumId w:val="1"/>
  </w:num>
  <w:num w:numId="8" w16cid:durableId="1024986152">
    <w:abstractNumId w:val="5"/>
  </w:num>
  <w:num w:numId="9" w16cid:durableId="1536505153">
    <w:abstractNumId w:val="2"/>
  </w:num>
  <w:num w:numId="10" w16cid:durableId="1190798020">
    <w:abstractNumId w:val="3"/>
  </w:num>
  <w:num w:numId="11" w16cid:durableId="109138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62"/>
    <w:docVar w:name="SWDocIDLocation" w:val="1"/>
  </w:docVars>
  <w:rsids>
    <w:rsidRoot w:val="00013CB9"/>
    <w:rsid w:val="000133C9"/>
    <w:rsid w:val="00013CB9"/>
    <w:rsid w:val="000149EE"/>
    <w:rsid w:val="000269DF"/>
    <w:rsid w:val="0002747E"/>
    <w:rsid w:val="00035AFB"/>
    <w:rsid w:val="00035B77"/>
    <w:rsid w:val="000529FF"/>
    <w:rsid w:val="000562D4"/>
    <w:rsid w:val="000632BA"/>
    <w:rsid w:val="000704F8"/>
    <w:rsid w:val="000B3CDA"/>
    <w:rsid w:val="000B7504"/>
    <w:rsid w:val="000D1181"/>
    <w:rsid w:val="000F441B"/>
    <w:rsid w:val="00100EA1"/>
    <w:rsid w:val="00127D88"/>
    <w:rsid w:val="00137C66"/>
    <w:rsid w:val="001A0E63"/>
    <w:rsid w:val="001D376C"/>
    <w:rsid w:val="001D5101"/>
    <w:rsid w:val="0022356C"/>
    <w:rsid w:val="00292EE2"/>
    <w:rsid w:val="002A6A4C"/>
    <w:rsid w:val="002B20E2"/>
    <w:rsid w:val="002B4800"/>
    <w:rsid w:val="002C1229"/>
    <w:rsid w:val="002D4D72"/>
    <w:rsid w:val="0031517C"/>
    <w:rsid w:val="00325F86"/>
    <w:rsid w:val="00331D8E"/>
    <w:rsid w:val="00340850"/>
    <w:rsid w:val="00342E0F"/>
    <w:rsid w:val="003822DD"/>
    <w:rsid w:val="003D42EA"/>
    <w:rsid w:val="003F05C8"/>
    <w:rsid w:val="00405090"/>
    <w:rsid w:val="00410D7C"/>
    <w:rsid w:val="004524D5"/>
    <w:rsid w:val="00461707"/>
    <w:rsid w:val="00487D5A"/>
    <w:rsid w:val="004A19D3"/>
    <w:rsid w:val="004B26D8"/>
    <w:rsid w:val="004D3459"/>
    <w:rsid w:val="004E767B"/>
    <w:rsid w:val="00515475"/>
    <w:rsid w:val="00516261"/>
    <w:rsid w:val="005200DA"/>
    <w:rsid w:val="00530140"/>
    <w:rsid w:val="0055166D"/>
    <w:rsid w:val="005528FF"/>
    <w:rsid w:val="00575A7E"/>
    <w:rsid w:val="00595C51"/>
    <w:rsid w:val="005977E2"/>
    <w:rsid w:val="005D75C7"/>
    <w:rsid w:val="005D765C"/>
    <w:rsid w:val="005F040D"/>
    <w:rsid w:val="005F3371"/>
    <w:rsid w:val="005F52B2"/>
    <w:rsid w:val="00605F41"/>
    <w:rsid w:val="00613BD2"/>
    <w:rsid w:val="00624E2E"/>
    <w:rsid w:val="0063244E"/>
    <w:rsid w:val="006722E8"/>
    <w:rsid w:val="0067270D"/>
    <w:rsid w:val="006905CC"/>
    <w:rsid w:val="006A0C45"/>
    <w:rsid w:val="006B6B2D"/>
    <w:rsid w:val="006C1786"/>
    <w:rsid w:val="006F221A"/>
    <w:rsid w:val="006F6240"/>
    <w:rsid w:val="00703C29"/>
    <w:rsid w:val="00733F75"/>
    <w:rsid w:val="00735C62"/>
    <w:rsid w:val="00746ED4"/>
    <w:rsid w:val="00775F7A"/>
    <w:rsid w:val="007840C9"/>
    <w:rsid w:val="007C79AB"/>
    <w:rsid w:val="007D4362"/>
    <w:rsid w:val="007D706D"/>
    <w:rsid w:val="007E0B33"/>
    <w:rsid w:val="007F172E"/>
    <w:rsid w:val="00866E0A"/>
    <w:rsid w:val="00876687"/>
    <w:rsid w:val="00895D9E"/>
    <w:rsid w:val="008C37D3"/>
    <w:rsid w:val="008C6BD8"/>
    <w:rsid w:val="00904438"/>
    <w:rsid w:val="00951991"/>
    <w:rsid w:val="00986E9F"/>
    <w:rsid w:val="009F2863"/>
    <w:rsid w:val="00A2097F"/>
    <w:rsid w:val="00A32BF2"/>
    <w:rsid w:val="00A348C0"/>
    <w:rsid w:val="00A4650E"/>
    <w:rsid w:val="00A56FD5"/>
    <w:rsid w:val="00A854FB"/>
    <w:rsid w:val="00A9642D"/>
    <w:rsid w:val="00AA7F7B"/>
    <w:rsid w:val="00B00774"/>
    <w:rsid w:val="00B014AB"/>
    <w:rsid w:val="00B01777"/>
    <w:rsid w:val="00B2351A"/>
    <w:rsid w:val="00B3168F"/>
    <w:rsid w:val="00B37DCD"/>
    <w:rsid w:val="00B52512"/>
    <w:rsid w:val="00B5275E"/>
    <w:rsid w:val="00B53B5C"/>
    <w:rsid w:val="00B63883"/>
    <w:rsid w:val="00B82168"/>
    <w:rsid w:val="00BA2259"/>
    <w:rsid w:val="00BA534B"/>
    <w:rsid w:val="00BB3C64"/>
    <w:rsid w:val="00BF01E1"/>
    <w:rsid w:val="00BF2431"/>
    <w:rsid w:val="00BF3A7B"/>
    <w:rsid w:val="00C204DF"/>
    <w:rsid w:val="00C3726D"/>
    <w:rsid w:val="00C40294"/>
    <w:rsid w:val="00C521AD"/>
    <w:rsid w:val="00C91A0A"/>
    <w:rsid w:val="00CC21B0"/>
    <w:rsid w:val="00CF2A60"/>
    <w:rsid w:val="00D22F46"/>
    <w:rsid w:val="00D54BEE"/>
    <w:rsid w:val="00D571BD"/>
    <w:rsid w:val="00D933AF"/>
    <w:rsid w:val="00DD0EE9"/>
    <w:rsid w:val="00DF6F73"/>
    <w:rsid w:val="00E16BD0"/>
    <w:rsid w:val="00E2736D"/>
    <w:rsid w:val="00E55C51"/>
    <w:rsid w:val="00E71DEB"/>
    <w:rsid w:val="00E7717B"/>
    <w:rsid w:val="00E80ADF"/>
    <w:rsid w:val="00EC3C6D"/>
    <w:rsid w:val="00F0072D"/>
    <w:rsid w:val="00F0337E"/>
    <w:rsid w:val="00F04EE8"/>
    <w:rsid w:val="00F16B0B"/>
    <w:rsid w:val="00F17C2B"/>
    <w:rsid w:val="00F250D3"/>
    <w:rsid w:val="00F30AE4"/>
    <w:rsid w:val="00F367ED"/>
    <w:rsid w:val="00FA3841"/>
    <w:rsid w:val="00FB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7536"/>
  <w15:chartTrackingRefBased/>
  <w15:docId w15:val="{3CAF0232-905D-4CAD-9612-AD4BD3F2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B9"/>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1D376C"/>
    <w:pPr>
      <w:keepNext/>
      <w:keepLines/>
      <w:numPr>
        <w:numId w:val="7"/>
      </w:numPr>
      <w:outlineLvl w:val="0"/>
    </w:pPr>
    <w:rPr>
      <w:rFonts w:eastAsiaTheme="majorEastAsia"/>
      <w:b/>
    </w:rPr>
  </w:style>
  <w:style w:type="paragraph" w:styleId="Heading2">
    <w:name w:val="heading 2"/>
    <w:basedOn w:val="Normal"/>
    <w:next w:val="Normal"/>
    <w:link w:val="Heading2Char"/>
    <w:unhideWhenUsed/>
    <w:qFormat/>
    <w:rsid w:val="001D376C"/>
    <w:pPr>
      <w:keepNext/>
      <w:keepLines/>
      <w:numPr>
        <w:ilvl w:val="1"/>
        <w:numId w:val="7"/>
      </w:numPr>
      <w:outlineLvl w:val="1"/>
    </w:pPr>
    <w:rPr>
      <w:rFonts w:eastAsiaTheme="majorEastAsia"/>
      <w:szCs w:val="26"/>
    </w:rPr>
  </w:style>
  <w:style w:type="paragraph" w:styleId="Heading3">
    <w:name w:val="heading 3"/>
    <w:basedOn w:val="Normal"/>
    <w:next w:val="Normal"/>
    <w:link w:val="Heading3Char"/>
    <w:uiPriority w:val="9"/>
    <w:semiHidden/>
    <w:unhideWhenUsed/>
    <w:qFormat/>
    <w:rsid w:val="001D376C"/>
    <w:pPr>
      <w:keepNext/>
      <w:keepLines/>
      <w:numPr>
        <w:ilvl w:val="2"/>
        <w:numId w:val="7"/>
      </w:numPr>
      <w:spacing w:before="40"/>
      <w:outlineLvl w:val="2"/>
    </w:pPr>
    <w:rPr>
      <w:rFonts w:eastAsiaTheme="majorEastAsia"/>
      <w:szCs w:val="24"/>
    </w:rPr>
  </w:style>
  <w:style w:type="paragraph" w:styleId="Heading4">
    <w:name w:val="heading 4"/>
    <w:basedOn w:val="Normal"/>
    <w:next w:val="Normal"/>
    <w:link w:val="Heading4Char"/>
    <w:unhideWhenUsed/>
    <w:qFormat/>
    <w:rsid w:val="001D376C"/>
    <w:pPr>
      <w:keepNext/>
      <w:keepLines/>
      <w:numPr>
        <w:ilvl w:val="3"/>
        <w:numId w:val="8"/>
      </w:numPr>
      <w:ind w:left="2160"/>
      <w:outlineLvl w:val="3"/>
    </w:pPr>
    <w:rPr>
      <w:rFonts w:eastAsiaTheme="majorEastAsia"/>
      <w:iCs/>
    </w:rPr>
  </w:style>
  <w:style w:type="paragraph" w:styleId="Heading5">
    <w:name w:val="heading 5"/>
    <w:basedOn w:val="Normal"/>
    <w:next w:val="Normal"/>
    <w:link w:val="Heading5Char"/>
    <w:uiPriority w:val="9"/>
    <w:semiHidden/>
    <w:unhideWhenUsed/>
    <w:qFormat/>
    <w:rsid w:val="00013CB9"/>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013CB9"/>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13CB9"/>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013CB9"/>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13CB9"/>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76C"/>
    <w:rPr>
      <w:rFonts w:eastAsiaTheme="majorEastAsia"/>
      <w:b/>
    </w:rPr>
  </w:style>
  <w:style w:type="character" w:customStyle="1" w:styleId="Heading2Char">
    <w:name w:val="Heading 2 Char"/>
    <w:basedOn w:val="DefaultParagraphFont"/>
    <w:link w:val="Heading2"/>
    <w:rsid w:val="001D376C"/>
    <w:rPr>
      <w:rFonts w:eastAsiaTheme="majorEastAsia"/>
      <w:szCs w:val="26"/>
    </w:rPr>
  </w:style>
  <w:style w:type="character" w:customStyle="1" w:styleId="Heading3Char">
    <w:name w:val="Heading 3 Char"/>
    <w:basedOn w:val="DefaultParagraphFont"/>
    <w:link w:val="Heading3"/>
    <w:uiPriority w:val="9"/>
    <w:semiHidden/>
    <w:rsid w:val="001D376C"/>
    <w:rPr>
      <w:rFonts w:eastAsiaTheme="majorEastAsia"/>
      <w:szCs w:val="24"/>
    </w:rPr>
  </w:style>
  <w:style w:type="character" w:customStyle="1" w:styleId="Heading4Char">
    <w:name w:val="Heading 4 Char"/>
    <w:basedOn w:val="DefaultParagraphFont"/>
    <w:link w:val="Heading4"/>
    <w:rsid w:val="001D376C"/>
    <w:rPr>
      <w:rFonts w:eastAsiaTheme="majorEastAsia"/>
      <w:iCs/>
    </w:rPr>
  </w:style>
  <w:style w:type="character" w:customStyle="1" w:styleId="Heading5Char">
    <w:name w:val="Heading 5 Char"/>
    <w:basedOn w:val="DefaultParagraphFont"/>
    <w:link w:val="Heading5"/>
    <w:uiPriority w:val="9"/>
    <w:semiHidden/>
    <w:rsid w:val="00013CB9"/>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13CB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13CB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13CB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13CB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13CB9"/>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13CB9"/>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13CB9"/>
    <w:pPr>
      <w:numPr>
        <w:ilvl w:val="1"/>
      </w:numPr>
      <w:spacing w:after="16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013CB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13C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3CB9"/>
    <w:rPr>
      <w:i/>
      <w:iCs/>
      <w:color w:val="404040" w:themeColor="text1" w:themeTint="BF"/>
    </w:rPr>
  </w:style>
  <w:style w:type="paragraph" w:styleId="ListParagraph">
    <w:name w:val="List Paragraph"/>
    <w:basedOn w:val="Normal"/>
    <w:uiPriority w:val="34"/>
    <w:qFormat/>
    <w:rsid w:val="00013CB9"/>
    <w:pPr>
      <w:ind w:left="720"/>
      <w:contextualSpacing/>
    </w:pPr>
  </w:style>
  <w:style w:type="character" w:styleId="IntenseEmphasis">
    <w:name w:val="Intense Emphasis"/>
    <w:basedOn w:val="DefaultParagraphFont"/>
    <w:uiPriority w:val="21"/>
    <w:qFormat/>
    <w:rsid w:val="00013CB9"/>
    <w:rPr>
      <w:i/>
      <w:iCs/>
      <w:color w:val="0F4761" w:themeColor="accent1" w:themeShade="BF"/>
    </w:rPr>
  </w:style>
  <w:style w:type="paragraph" w:styleId="IntenseQuote">
    <w:name w:val="Intense Quote"/>
    <w:basedOn w:val="Normal"/>
    <w:next w:val="Normal"/>
    <w:link w:val="IntenseQuoteChar"/>
    <w:uiPriority w:val="30"/>
    <w:qFormat/>
    <w:rsid w:val="00013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CB9"/>
    <w:rPr>
      <w:i/>
      <w:iCs/>
      <w:color w:val="0F4761" w:themeColor="accent1" w:themeShade="BF"/>
    </w:rPr>
  </w:style>
  <w:style w:type="character" w:styleId="IntenseReference">
    <w:name w:val="Intense Reference"/>
    <w:basedOn w:val="DefaultParagraphFont"/>
    <w:uiPriority w:val="32"/>
    <w:qFormat/>
    <w:rsid w:val="00013CB9"/>
    <w:rPr>
      <w:b/>
      <w:bCs/>
      <w:smallCaps/>
      <w:color w:val="0F4761" w:themeColor="accent1" w:themeShade="BF"/>
      <w:spacing w:val="5"/>
    </w:rPr>
  </w:style>
  <w:style w:type="paragraph" w:styleId="Footer">
    <w:name w:val="footer"/>
    <w:basedOn w:val="Normal"/>
    <w:link w:val="FooterChar"/>
    <w:rsid w:val="00013CB9"/>
    <w:pPr>
      <w:spacing w:after="0" w:line="240" w:lineRule="auto"/>
      <w:jc w:val="center"/>
    </w:pPr>
    <w:rPr>
      <w:rFonts w:ascii="Times New Roman" w:hAnsi="Times New Roman" w:cs="Times New Roman"/>
      <w:sz w:val="24"/>
    </w:rPr>
  </w:style>
  <w:style w:type="character" w:customStyle="1" w:styleId="FooterChar">
    <w:name w:val="Footer Char"/>
    <w:basedOn w:val="DefaultParagraphFont"/>
    <w:link w:val="Footer"/>
    <w:rsid w:val="00013CB9"/>
    <w:rPr>
      <w:rFonts w:cs="Times New Roman"/>
      <w:szCs w:val="22"/>
    </w:rPr>
  </w:style>
  <w:style w:type="paragraph" w:customStyle="1" w:styleId="FooterDocID">
    <w:name w:val="Footer DocID"/>
    <w:basedOn w:val="Normal"/>
    <w:rsid w:val="00013CB9"/>
    <w:pPr>
      <w:tabs>
        <w:tab w:val="right" w:pos="9360"/>
      </w:tabs>
      <w:spacing w:after="0" w:line="240" w:lineRule="auto"/>
    </w:pPr>
    <w:rPr>
      <w:rFonts w:ascii="Times New Roman" w:eastAsia="Calibri" w:hAnsi="Times New Roman" w:cs="Times New Roman"/>
      <w:sz w:val="14"/>
      <w:szCs w:val="24"/>
    </w:rPr>
  </w:style>
  <w:style w:type="paragraph" w:styleId="Header">
    <w:name w:val="header"/>
    <w:basedOn w:val="Normal"/>
    <w:link w:val="HeaderChar"/>
    <w:uiPriority w:val="99"/>
    <w:rsid w:val="00013CB9"/>
    <w:pPr>
      <w:tabs>
        <w:tab w:val="center" w:pos="4320"/>
        <w:tab w:val="right" w:pos="8640"/>
      </w:tabs>
    </w:pPr>
  </w:style>
  <w:style w:type="character" w:customStyle="1" w:styleId="HeaderChar">
    <w:name w:val="Header Char"/>
    <w:basedOn w:val="DefaultParagraphFont"/>
    <w:link w:val="Header"/>
    <w:uiPriority w:val="99"/>
    <w:rsid w:val="00013CB9"/>
    <w:rPr>
      <w:rFonts w:asciiTheme="minorHAnsi" w:hAnsiTheme="minorHAnsi" w:cstheme="minorBidi"/>
      <w:sz w:val="22"/>
      <w:szCs w:val="22"/>
    </w:rPr>
  </w:style>
  <w:style w:type="paragraph" w:customStyle="1" w:styleId="Title2">
    <w:name w:val="Title2"/>
    <w:basedOn w:val="Normal"/>
    <w:next w:val="BodyTextFirstIndent"/>
    <w:qFormat/>
    <w:rsid w:val="00013CB9"/>
    <w:pPr>
      <w:keepNext/>
      <w:spacing w:after="240"/>
      <w:jc w:val="center"/>
    </w:pPr>
    <w:rPr>
      <w:b/>
      <w:caps/>
    </w:rPr>
  </w:style>
  <w:style w:type="table" w:styleId="TableGrid">
    <w:name w:val="Table Grid"/>
    <w:basedOn w:val="TableNormal"/>
    <w:uiPriority w:val="59"/>
    <w:rsid w:val="00013CB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3CB9"/>
  </w:style>
  <w:style w:type="character" w:styleId="CommentReference">
    <w:name w:val="annotation reference"/>
    <w:basedOn w:val="DefaultParagraphFont"/>
    <w:uiPriority w:val="99"/>
    <w:unhideWhenUsed/>
    <w:rsid w:val="00013CB9"/>
    <w:rPr>
      <w:sz w:val="16"/>
      <w:szCs w:val="16"/>
    </w:rPr>
  </w:style>
  <w:style w:type="paragraph" w:styleId="CommentText">
    <w:name w:val="annotation text"/>
    <w:basedOn w:val="Normal"/>
    <w:link w:val="CommentTextChar"/>
    <w:uiPriority w:val="99"/>
    <w:unhideWhenUsed/>
    <w:rsid w:val="00013CB9"/>
    <w:pPr>
      <w:spacing w:line="240" w:lineRule="auto"/>
    </w:pPr>
    <w:rPr>
      <w:sz w:val="20"/>
      <w:szCs w:val="20"/>
    </w:rPr>
  </w:style>
  <w:style w:type="character" w:customStyle="1" w:styleId="CommentTextChar">
    <w:name w:val="Comment Text Char"/>
    <w:basedOn w:val="DefaultParagraphFont"/>
    <w:link w:val="CommentText"/>
    <w:uiPriority w:val="99"/>
    <w:rsid w:val="00013CB9"/>
    <w:rPr>
      <w:rFonts w:asciiTheme="minorHAnsi" w:hAnsiTheme="minorHAnsi" w:cstheme="minorBidi"/>
      <w:sz w:val="20"/>
      <w:szCs w:val="20"/>
    </w:rPr>
  </w:style>
  <w:style w:type="character" w:styleId="Hyperlink">
    <w:name w:val="Hyperlink"/>
    <w:basedOn w:val="DefaultParagraphFont"/>
    <w:uiPriority w:val="99"/>
    <w:unhideWhenUsed/>
    <w:rsid w:val="00013CB9"/>
    <w:rPr>
      <w:color w:val="467886" w:themeColor="hyperlink"/>
      <w:u w:val="single"/>
    </w:rPr>
  </w:style>
  <w:style w:type="paragraph" w:styleId="BodyText">
    <w:name w:val="Body Text"/>
    <w:basedOn w:val="Normal"/>
    <w:link w:val="BodyTextChar"/>
    <w:uiPriority w:val="99"/>
    <w:semiHidden/>
    <w:unhideWhenUsed/>
    <w:rsid w:val="00013CB9"/>
    <w:pPr>
      <w:spacing w:after="120"/>
    </w:pPr>
  </w:style>
  <w:style w:type="character" w:customStyle="1" w:styleId="BodyTextChar">
    <w:name w:val="Body Text Char"/>
    <w:basedOn w:val="DefaultParagraphFont"/>
    <w:link w:val="BodyText"/>
    <w:uiPriority w:val="99"/>
    <w:semiHidden/>
    <w:rsid w:val="00013CB9"/>
    <w:rPr>
      <w:rFonts w:asciiTheme="minorHAnsi" w:hAnsiTheme="minorHAnsi" w:cstheme="minorBidi"/>
      <w:sz w:val="22"/>
      <w:szCs w:val="22"/>
    </w:rPr>
  </w:style>
  <w:style w:type="paragraph" w:styleId="BodyTextFirstIndent">
    <w:name w:val="Body Text First Indent"/>
    <w:basedOn w:val="BodyText"/>
    <w:link w:val="BodyTextFirstIndentChar"/>
    <w:uiPriority w:val="99"/>
    <w:semiHidden/>
    <w:unhideWhenUsed/>
    <w:rsid w:val="00013CB9"/>
    <w:pPr>
      <w:spacing w:after="200"/>
      <w:ind w:firstLine="360"/>
    </w:pPr>
  </w:style>
  <w:style w:type="character" w:customStyle="1" w:styleId="BodyTextFirstIndentChar">
    <w:name w:val="Body Text First Indent Char"/>
    <w:basedOn w:val="BodyTextChar"/>
    <w:link w:val="BodyTextFirstIndent"/>
    <w:uiPriority w:val="99"/>
    <w:semiHidden/>
    <w:rsid w:val="00013CB9"/>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342E0F"/>
    <w:rPr>
      <w:b/>
      <w:bCs/>
    </w:rPr>
  </w:style>
  <w:style w:type="character" w:customStyle="1" w:styleId="CommentSubjectChar">
    <w:name w:val="Comment Subject Char"/>
    <w:basedOn w:val="CommentTextChar"/>
    <w:link w:val="CommentSubject"/>
    <w:uiPriority w:val="99"/>
    <w:semiHidden/>
    <w:rsid w:val="00342E0F"/>
    <w:rPr>
      <w:rFonts w:asciiTheme="minorHAnsi" w:hAnsiTheme="minorHAnsi" w:cstheme="minorBidi"/>
      <w:b/>
      <w:bCs/>
      <w:sz w:val="20"/>
      <w:szCs w:val="20"/>
    </w:rPr>
  </w:style>
  <w:style w:type="character" w:customStyle="1" w:styleId="UnresolvedMention1">
    <w:name w:val="Unresolved Mention1"/>
    <w:basedOn w:val="DefaultParagraphFont"/>
    <w:uiPriority w:val="99"/>
    <w:semiHidden/>
    <w:unhideWhenUsed/>
    <w:rsid w:val="00746ED4"/>
    <w:rPr>
      <w:color w:val="605E5C"/>
      <w:shd w:val="clear" w:color="auto" w:fill="E1DFDD"/>
    </w:rPr>
  </w:style>
  <w:style w:type="paragraph" w:styleId="Revision">
    <w:name w:val="Revision"/>
    <w:hidden/>
    <w:uiPriority w:val="99"/>
    <w:semiHidden/>
    <w:rsid w:val="00D22F46"/>
    <w:pPr>
      <w:spacing w:after="0" w:line="240" w:lineRule="auto"/>
    </w:pPr>
    <w:rPr>
      <w:rFonts w:asciiTheme="minorHAnsi" w:hAnsiTheme="minorHAnsi" w:cstheme="minorBidi"/>
      <w:sz w:val="22"/>
      <w:szCs w:val="22"/>
    </w:rPr>
  </w:style>
  <w:style w:type="character" w:styleId="UnresolvedMention">
    <w:name w:val="Unresolved Mention"/>
    <w:basedOn w:val="DefaultParagraphFont"/>
    <w:uiPriority w:val="99"/>
    <w:rsid w:val="0048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arka-p1.pantheonsite.io/cookie-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BRMATTERS!135924270.1</documentid>
  <senderid>KShin</senderid>
  <senderemail>karen.shin@blankrome.com</senderemail>
  <lastmodified>2024-06-20T15:13:00.0000000-07:00</lastmodified>
  <database>BRMATTERS</database>
</properties>
</file>

<file path=customXml/itemProps1.xml><?xml version="1.0" encoding="utf-8"?>
<ds:datastoreItem xmlns:ds="http://schemas.openxmlformats.org/officeDocument/2006/customXml" ds:itemID="{0728EB40-B010-4C46-84AD-298432B333A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Farley</dc:creator>
  <cp:lastModifiedBy>Judith Senechal</cp:lastModifiedBy>
  <cp:revision>3</cp:revision>
  <dcterms:created xsi:type="dcterms:W3CDTF">2024-08-20T17:00:00Z</dcterms:created>
  <dcterms:modified xsi:type="dcterms:W3CDTF">2024-08-28T17:35:00Z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164905.00103/135924270v.1</vt:lpwstr>
  </property>
</Properties>
</file>